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36458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7A" w:rsidRDefault="00364586">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367A" w:rsidRDefault="00364586">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681438" w:rsidRDefault="00F4367A">
      <w:pPr>
        <w:jc w:val="right"/>
        <w:rPr>
          <w:rFonts w:cs="Arial"/>
          <w:b/>
          <w:bCs/>
        </w:rPr>
      </w:pPr>
    </w:p>
    <w:p w:rsidR="00F4367A" w:rsidRPr="00681438" w:rsidRDefault="00F4367A">
      <w:pPr>
        <w:tabs>
          <w:tab w:val="left" w:pos="2160"/>
        </w:tabs>
        <w:rPr>
          <w:rFonts w:cs="Arial"/>
          <w:b/>
          <w:bCs/>
        </w:rPr>
      </w:pPr>
      <w:r w:rsidRPr="00681438">
        <w:rPr>
          <w:rFonts w:cs="Arial"/>
          <w:b/>
          <w:bCs/>
        </w:rPr>
        <w:t xml:space="preserve">To: </w:t>
      </w:r>
      <w:r w:rsidR="009D163B" w:rsidRPr="00681438">
        <w:rPr>
          <w:rFonts w:cs="Arial"/>
          <w:b/>
          <w:bCs/>
        </w:rPr>
        <w:tab/>
      </w:r>
      <w:r w:rsidRPr="00681438">
        <w:rPr>
          <w:rFonts w:cs="Arial"/>
          <w:b/>
          <w:bCs/>
        </w:rPr>
        <w:t>City Executive Board</w:t>
      </w:r>
      <w:r w:rsidRPr="00681438">
        <w:rPr>
          <w:rFonts w:cs="Arial"/>
          <w:b/>
          <w:bCs/>
        </w:rPr>
        <w:tab/>
      </w:r>
    </w:p>
    <w:p w:rsidR="00F4367A" w:rsidRPr="00681438" w:rsidRDefault="00F4367A">
      <w:pPr>
        <w:rPr>
          <w:rFonts w:cs="Arial"/>
          <w:b/>
          <w:bCs/>
        </w:rPr>
      </w:pPr>
    </w:p>
    <w:p w:rsidR="00F4367A" w:rsidRPr="00681438" w:rsidRDefault="00F4367A">
      <w:pPr>
        <w:tabs>
          <w:tab w:val="left" w:pos="2160"/>
          <w:tab w:val="left" w:pos="6300"/>
          <w:tab w:val="left" w:pos="7380"/>
        </w:tabs>
        <w:rPr>
          <w:rFonts w:cs="Arial"/>
          <w:b/>
          <w:bCs/>
        </w:rPr>
      </w:pPr>
      <w:r w:rsidRPr="00681438">
        <w:rPr>
          <w:rFonts w:cs="Arial"/>
          <w:b/>
          <w:bCs/>
        </w:rPr>
        <w:t>Date:</w:t>
      </w:r>
      <w:r w:rsidR="001F653A" w:rsidRPr="00681438">
        <w:rPr>
          <w:rFonts w:cs="Arial"/>
          <w:b/>
          <w:bCs/>
        </w:rPr>
        <w:t xml:space="preserve"> </w:t>
      </w:r>
      <w:r w:rsidR="009D163B" w:rsidRPr="00681438">
        <w:rPr>
          <w:rFonts w:cs="Arial"/>
          <w:b/>
          <w:bCs/>
        </w:rPr>
        <w:tab/>
      </w:r>
      <w:r w:rsidR="00CC39A4">
        <w:rPr>
          <w:rFonts w:cs="Arial"/>
          <w:b/>
          <w:bCs/>
        </w:rPr>
        <w:t>15 October</w:t>
      </w:r>
      <w:r w:rsidR="001F653A" w:rsidRPr="00681438">
        <w:rPr>
          <w:rFonts w:cs="Arial"/>
          <w:b/>
          <w:bCs/>
        </w:rPr>
        <w:t xml:space="preserve"> 2014</w:t>
      </w:r>
      <w:r w:rsidRPr="00681438">
        <w:rPr>
          <w:rFonts w:cs="Arial"/>
          <w:b/>
          <w:bCs/>
        </w:rPr>
        <w:tab/>
        <w:t xml:space="preserve">       </w:t>
      </w:r>
      <w:r w:rsidRPr="00681438">
        <w:rPr>
          <w:rFonts w:cs="Arial"/>
          <w:b/>
          <w:bCs/>
        </w:rPr>
        <w:tab/>
        <w:t xml:space="preserve">   </w:t>
      </w:r>
      <w:r w:rsidRPr="00681438">
        <w:rPr>
          <w:rFonts w:cs="Arial"/>
          <w:b/>
          <w:bCs/>
        </w:rPr>
        <w:tab/>
      </w:r>
    </w:p>
    <w:p w:rsidR="00F4367A" w:rsidRPr="00681438" w:rsidRDefault="00F4367A">
      <w:pPr>
        <w:jc w:val="right"/>
        <w:rPr>
          <w:rFonts w:cs="Arial"/>
          <w:b/>
          <w:bCs/>
        </w:rPr>
      </w:pPr>
    </w:p>
    <w:p w:rsidR="00F4367A" w:rsidRPr="00681438" w:rsidRDefault="001F653A">
      <w:pPr>
        <w:rPr>
          <w:rFonts w:cs="Arial"/>
          <w:b/>
          <w:bCs/>
        </w:rPr>
      </w:pPr>
      <w:r w:rsidRPr="00681438">
        <w:rPr>
          <w:rFonts w:cs="Arial"/>
          <w:b/>
          <w:bCs/>
        </w:rPr>
        <w:t>Report of:</w:t>
      </w:r>
      <w:r w:rsidR="009D163B" w:rsidRPr="00681438">
        <w:rPr>
          <w:rFonts w:cs="Arial"/>
          <w:b/>
          <w:bCs/>
        </w:rPr>
        <w:tab/>
      </w:r>
      <w:r w:rsidR="009D163B" w:rsidRPr="00681438">
        <w:rPr>
          <w:rFonts w:cs="Arial"/>
          <w:b/>
          <w:bCs/>
        </w:rPr>
        <w:tab/>
      </w:r>
      <w:r w:rsidR="00D35CFC">
        <w:rPr>
          <w:rFonts w:cs="Arial"/>
          <w:b/>
          <w:bCs/>
        </w:rPr>
        <w:t xml:space="preserve">Head of Finance </w:t>
      </w:r>
      <w:r w:rsidR="003159DE">
        <w:rPr>
          <w:rFonts w:cs="Arial"/>
          <w:b/>
          <w:bCs/>
        </w:rPr>
        <w:t>and</w:t>
      </w:r>
      <w:r w:rsidR="001E1973" w:rsidRPr="00681438">
        <w:rPr>
          <w:rFonts w:cs="Arial"/>
          <w:b/>
          <w:bCs/>
        </w:rPr>
        <w:t xml:space="preserve"> Head of Housing and Property</w:t>
      </w:r>
    </w:p>
    <w:p w:rsidR="00F4367A" w:rsidRPr="00681438" w:rsidRDefault="00F4367A">
      <w:pPr>
        <w:tabs>
          <w:tab w:val="left" w:pos="2160"/>
        </w:tabs>
        <w:rPr>
          <w:rFonts w:cs="Arial"/>
          <w:b/>
          <w:bCs/>
        </w:rPr>
      </w:pPr>
    </w:p>
    <w:p w:rsidR="00F4367A" w:rsidRPr="00681438" w:rsidRDefault="00F4367A" w:rsidP="00357A2A">
      <w:pPr>
        <w:tabs>
          <w:tab w:val="left" w:pos="2160"/>
        </w:tabs>
        <w:rPr>
          <w:rFonts w:cs="Arial"/>
        </w:rPr>
      </w:pPr>
      <w:r w:rsidRPr="00681438">
        <w:rPr>
          <w:rFonts w:cs="Arial"/>
          <w:b/>
          <w:bCs/>
        </w:rPr>
        <w:t>Title of Report:</w:t>
      </w:r>
      <w:r w:rsidR="001F653A" w:rsidRPr="00681438">
        <w:rPr>
          <w:rFonts w:cs="Arial"/>
          <w:b/>
          <w:bCs/>
        </w:rPr>
        <w:t xml:space="preserve"> </w:t>
      </w:r>
      <w:r w:rsidR="009D163B" w:rsidRPr="00681438">
        <w:rPr>
          <w:rFonts w:cs="Arial"/>
          <w:b/>
          <w:bCs/>
        </w:rPr>
        <w:tab/>
      </w:r>
      <w:r w:rsidR="00357A2A" w:rsidRPr="00681438">
        <w:rPr>
          <w:rFonts w:cs="Arial"/>
          <w:b/>
          <w:bCs/>
        </w:rPr>
        <w:t xml:space="preserve">Leaseholder Payment Options </w:t>
      </w:r>
      <w:r w:rsidR="007F51A8">
        <w:rPr>
          <w:rFonts w:cs="Arial"/>
          <w:b/>
          <w:bCs/>
        </w:rPr>
        <w:t>f</w:t>
      </w:r>
      <w:r w:rsidR="00357A2A" w:rsidRPr="00681438">
        <w:rPr>
          <w:rFonts w:cs="Arial"/>
          <w:b/>
          <w:bCs/>
        </w:rPr>
        <w:t>or Major Works</w:t>
      </w:r>
      <w:r w:rsidR="00357A2A" w:rsidRPr="00681438">
        <w:rPr>
          <w:rFonts w:cs="Arial"/>
          <w:b/>
          <w:bCs/>
        </w:rPr>
        <w:tab/>
      </w:r>
      <w:r w:rsidR="00357A2A" w:rsidRPr="00681438">
        <w:rPr>
          <w:rFonts w:cs="Arial"/>
          <w:b/>
          <w:bCs/>
        </w:rPr>
        <w:tab/>
      </w:r>
    </w:p>
    <w:p w:rsidR="00F4367A" w:rsidRPr="00681438"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F4367A" w:rsidRPr="00357A2A" w:rsidRDefault="00F4367A" w:rsidP="00357A2A">
      <w:pPr>
        <w:pStyle w:val="Heading1"/>
        <w:pBdr>
          <w:top w:val="single" w:sz="4" w:space="1" w:color="auto"/>
          <w:left w:val="single" w:sz="4" w:space="4" w:color="auto"/>
          <w:bottom w:val="single" w:sz="4" w:space="1" w:color="auto"/>
          <w:right w:val="single" w:sz="4" w:space="4" w:color="auto"/>
        </w:pBdr>
        <w:rPr>
          <w:rFonts w:cs="Arial"/>
        </w:rPr>
      </w:pPr>
      <w:r w:rsidRPr="00357A2A">
        <w:rPr>
          <w:rFonts w:cs="Arial"/>
        </w:rPr>
        <w:t>Summary and Recommendations</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p>
    <w:p w:rsidR="00F4367A" w:rsidRPr="00681438" w:rsidRDefault="00F4367A">
      <w:pPr>
        <w:pBdr>
          <w:top w:val="single" w:sz="4" w:space="1" w:color="auto"/>
          <w:left w:val="single" w:sz="4" w:space="4" w:color="auto"/>
          <w:bottom w:val="single" w:sz="4" w:space="1" w:color="auto"/>
          <w:right w:val="single" w:sz="4" w:space="4" w:color="auto"/>
        </w:pBdr>
        <w:rPr>
          <w:rFonts w:cs="Arial"/>
        </w:rPr>
      </w:pPr>
      <w:r w:rsidRPr="00D65808">
        <w:rPr>
          <w:rFonts w:cs="Arial"/>
          <w:b/>
          <w:bCs/>
        </w:rPr>
        <w:t>Purpose of report</w:t>
      </w:r>
      <w:r w:rsidRPr="00D65808">
        <w:rPr>
          <w:rFonts w:cs="Arial"/>
          <w:b/>
        </w:rPr>
        <w:t>:</w:t>
      </w:r>
      <w:r w:rsidRPr="00681438">
        <w:rPr>
          <w:rFonts w:cs="Arial"/>
        </w:rPr>
        <w:t xml:space="preserve">  </w:t>
      </w:r>
      <w:r w:rsidR="007E7A6A">
        <w:rPr>
          <w:rFonts w:cs="Arial"/>
        </w:rPr>
        <w:t>T</w:t>
      </w:r>
      <w:r w:rsidR="00A03D60" w:rsidRPr="00681438">
        <w:rPr>
          <w:rFonts w:cs="Arial"/>
        </w:rPr>
        <w:t>o</w:t>
      </w:r>
      <w:r w:rsidR="0051716C" w:rsidRPr="00681438">
        <w:rPr>
          <w:rFonts w:cs="Arial"/>
        </w:rPr>
        <w:t xml:space="preserve"> establish a </w:t>
      </w:r>
      <w:r w:rsidR="003159DE">
        <w:rPr>
          <w:rFonts w:cs="Arial"/>
        </w:rPr>
        <w:t>f</w:t>
      </w:r>
      <w:r w:rsidR="00BE311F">
        <w:rPr>
          <w:rFonts w:cs="Arial"/>
        </w:rPr>
        <w:t>ramework</w:t>
      </w:r>
      <w:r w:rsidR="0051716C" w:rsidRPr="00681438">
        <w:rPr>
          <w:rFonts w:cs="Arial"/>
        </w:rPr>
        <w:t xml:space="preserve"> </w:t>
      </w:r>
      <w:r w:rsidR="003159DE">
        <w:rPr>
          <w:rFonts w:cs="Arial"/>
        </w:rPr>
        <w:t>for</w:t>
      </w:r>
      <w:r w:rsidR="0051716C" w:rsidRPr="00681438">
        <w:rPr>
          <w:rFonts w:cs="Arial"/>
        </w:rPr>
        <w:t xml:space="preserve"> the </w:t>
      </w:r>
      <w:r w:rsidR="003159DE">
        <w:rPr>
          <w:rFonts w:cs="Arial"/>
        </w:rPr>
        <w:t>fi</w:t>
      </w:r>
      <w:r w:rsidR="0051716C" w:rsidRPr="00681438">
        <w:rPr>
          <w:rFonts w:cs="Arial"/>
        </w:rPr>
        <w:t xml:space="preserve">nancial </w:t>
      </w:r>
      <w:r w:rsidR="003159DE">
        <w:rPr>
          <w:rFonts w:cs="Arial"/>
        </w:rPr>
        <w:t>a</w:t>
      </w:r>
      <w:r w:rsidR="0051716C" w:rsidRPr="00681438">
        <w:rPr>
          <w:rFonts w:cs="Arial"/>
        </w:rPr>
        <w:t>ssistance</w:t>
      </w:r>
      <w:r w:rsidR="00BE311F">
        <w:rPr>
          <w:rFonts w:cs="Arial"/>
        </w:rPr>
        <w:t xml:space="preserve"> options</w:t>
      </w:r>
      <w:r w:rsidR="0051716C" w:rsidRPr="00681438">
        <w:rPr>
          <w:rFonts w:cs="Arial"/>
        </w:rPr>
        <w:t xml:space="preserve"> to be offered to </w:t>
      </w:r>
      <w:r w:rsidR="003159DE">
        <w:rPr>
          <w:rFonts w:cs="Arial"/>
        </w:rPr>
        <w:t>Council residential</w:t>
      </w:r>
      <w:r w:rsidR="00A03D60" w:rsidRPr="00681438">
        <w:rPr>
          <w:rFonts w:cs="Arial"/>
        </w:rPr>
        <w:t xml:space="preserve"> leaseholders with regards to rechargeable major </w:t>
      </w:r>
      <w:r w:rsidR="00AD6518">
        <w:rPr>
          <w:rFonts w:cs="Arial"/>
        </w:rPr>
        <w:t>works</w:t>
      </w:r>
      <w:r w:rsidR="00A03D60" w:rsidRPr="00681438">
        <w:rPr>
          <w:rFonts w:cs="Arial"/>
        </w:rPr>
        <w:t xml:space="preserve"> undertaken by the Council</w:t>
      </w:r>
      <w:r w:rsidR="0051716C" w:rsidRPr="00681438">
        <w:rPr>
          <w:rFonts w:cs="Arial"/>
        </w:rPr>
        <w:t>.</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p>
    <w:p w:rsidR="00F4367A" w:rsidRPr="00681438" w:rsidRDefault="00623C2F">
      <w:pPr>
        <w:pStyle w:val="Heading1"/>
        <w:pBdr>
          <w:top w:val="single" w:sz="4" w:space="1" w:color="auto"/>
          <w:left w:val="single" w:sz="4" w:space="4" w:color="auto"/>
          <w:bottom w:val="single" w:sz="4" w:space="1" w:color="auto"/>
          <w:right w:val="single" w:sz="4" w:space="4" w:color="auto"/>
        </w:pBdr>
        <w:tabs>
          <w:tab w:val="left" w:pos="3062"/>
        </w:tabs>
        <w:rPr>
          <w:rFonts w:cs="Arial"/>
          <w:b w:val="0"/>
          <w:bCs w:val="0"/>
        </w:rPr>
      </w:pPr>
      <w:r w:rsidRPr="00D65808">
        <w:rPr>
          <w:rFonts w:cs="Arial"/>
          <w:bCs w:val="0"/>
        </w:rPr>
        <w:t xml:space="preserve">Key </w:t>
      </w:r>
      <w:r w:rsidR="004F19BC" w:rsidRPr="00D65808">
        <w:rPr>
          <w:rFonts w:cs="Arial"/>
          <w:bCs w:val="0"/>
        </w:rPr>
        <w:t>decision</w:t>
      </w:r>
      <w:r w:rsidR="0051716C" w:rsidRPr="00D65808">
        <w:rPr>
          <w:rFonts w:cs="Arial"/>
          <w:bCs w:val="0"/>
        </w:rPr>
        <w:t>:</w:t>
      </w:r>
      <w:r w:rsidR="0051716C" w:rsidRPr="00681438">
        <w:rPr>
          <w:rFonts w:cs="Arial"/>
          <w:b w:val="0"/>
          <w:bCs w:val="0"/>
        </w:rPr>
        <w:t xml:space="preserve"> Yes</w:t>
      </w:r>
      <w:r w:rsidR="00F4367A" w:rsidRPr="00681438">
        <w:rPr>
          <w:rFonts w:cs="Arial"/>
          <w:b w:val="0"/>
          <w:bCs w:val="0"/>
        </w:rPr>
        <w:t xml:space="preserve"> </w:t>
      </w:r>
      <w:r w:rsidR="00357A2A">
        <w:rPr>
          <w:rFonts w:cs="Arial"/>
          <w:b w:val="0"/>
          <w:bCs w:val="0"/>
        </w:rPr>
        <w:t>(all Wards)</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p>
    <w:p w:rsidR="00F4367A" w:rsidRPr="00681438" w:rsidRDefault="00F4367A">
      <w:pPr>
        <w:pBdr>
          <w:top w:val="single" w:sz="4" w:space="1" w:color="auto"/>
          <w:left w:val="single" w:sz="4" w:space="4" w:color="auto"/>
          <w:bottom w:val="single" w:sz="4" w:space="1" w:color="auto"/>
          <w:right w:val="single" w:sz="4" w:space="4" w:color="auto"/>
        </w:pBdr>
        <w:rPr>
          <w:rFonts w:cs="Arial"/>
          <w:bCs/>
        </w:rPr>
      </w:pPr>
      <w:r w:rsidRPr="00D65808">
        <w:rPr>
          <w:rFonts w:cs="Arial"/>
          <w:b/>
          <w:bCs/>
        </w:rPr>
        <w:t>Executive lead member:</w:t>
      </w:r>
      <w:r w:rsidRPr="00681438">
        <w:rPr>
          <w:rFonts w:cs="Arial"/>
          <w:bCs/>
        </w:rPr>
        <w:t xml:space="preserve"> </w:t>
      </w:r>
      <w:r w:rsidR="004F19BC" w:rsidRPr="00681438">
        <w:rPr>
          <w:rFonts w:cs="Arial"/>
          <w:bCs/>
        </w:rPr>
        <w:t>C</w:t>
      </w:r>
      <w:r w:rsidR="00A03D60" w:rsidRPr="00681438">
        <w:rPr>
          <w:rFonts w:cs="Arial"/>
          <w:bCs/>
        </w:rPr>
        <w:t xml:space="preserve">ouncillor Scott Seamons, Board Member for </w:t>
      </w:r>
      <w:r w:rsidR="004F19BC" w:rsidRPr="00681438">
        <w:rPr>
          <w:rFonts w:cs="Arial"/>
          <w:bCs/>
        </w:rPr>
        <w:t>H</w:t>
      </w:r>
      <w:r w:rsidR="00A03D60" w:rsidRPr="00681438">
        <w:rPr>
          <w:rFonts w:cs="Arial"/>
          <w:bCs/>
        </w:rPr>
        <w:t xml:space="preserve">ousing and Estate Regeneration </w:t>
      </w:r>
      <w:r w:rsidR="003159DE">
        <w:rPr>
          <w:rFonts w:cs="Arial"/>
          <w:bCs/>
        </w:rPr>
        <w:t>and</w:t>
      </w:r>
      <w:r w:rsidR="00A03D60" w:rsidRPr="00681438">
        <w:rPr>
          <w:rFonts w:cs="Arial"/>
          <w:bCs/>
        </w:rPr>
        <w:t xml:space="preserve"> Councillor Ed Turner, Board Member for Finance, Asset Management and Public Health</w:t>
      </w:r>
    </w:p>
    <w:p w:rsidR="00F4367A" w:rsidRPr="00681438" w:rsidRDefault="00F4367A">
      <w:pPr>
        <w:pStyle w:val="Heading1"/>
        <w:pBdr>
          <w:top w:val="single" w:sz="4" w:space="1" w:color="auto"/>
          <w:left w:val="single" w:sz="4" w:space="4" w:color="auto"/>
          <w:bottom w:val="single" w:sz="4" w:space="1" w:color="auto"/>
          <w:right w:val="single" w:sz="4" w:space="4" w:color="auto"/>
        </w:pBdr>
        <w:rPr>
          <w:rFonts w:cs="Arial"/>
          <w:b w:val="0"/>
        </w:rPr>
      </w:pPr>
    </w:p>
    <w:p w:rsidR="00F4367A" w:rsidRPr="00681438" w:rsidRDefault="00F4367A">
      <w:pPr>
        <w:pBdr>
          <w:top w:val="single" w:sz="4" w:space="1" w:color="auto"/>
          <w:left w:val="single" w:sz="4" w:space="4" w:color="auto"/>
          <w:bottom w:val="single" w:sz="4" w:space="1" w:color="auto"/>
          <w:right w:val="single" w:sz="4" w:space="4" w:color="auto"/>
        </w:pBdr>
        <w:rPr>
          <w:rFonts w:cs="Arial"/>
          <w:bCs/>
        </w:rPr>
      </w:pPr>
      <w:r w:rsidRPr="00D65808">
        <w:rPr>
          <w:rFonts w:cs="Arial"/>
          <w:b/>
          <w:bCs/>
        </w:rPr>
        <w:t>Policy Framework</w:t>
      </w:r>
      <w:r w:rsidRPr="00681438">
        <w:rPr>
          <w:rFonts w:cs="Arial"/>
          <w:bCs/>
        </w:rPr>
        <w:t xml:space="preserve">: </w:t>
      </w:r>
      <w:r w:rsidR="00A03D60" w:rsidRPr="00681438">
        <w:rPr>
          <w:rFonts w:cs="Arial"/>
          <w:bCs/>
        </w:rPr>
        <w:t>Housing</w:t>
      </w:r>
      <w:r w:rsidR="00357A2A">
        <w:rPr>
          <w:rFonts w:cs="Arial"/>
          <w:bCs/>
        </w:rPr>
        <w:t xml:space="preserve"> and Regeneration</w:t>
      </w:r>
    </w:p>
    <w:p w:rsidR="00F4367A" w:rsidRPr="00681438" w:rsidRDefault="00F4367A">
      <w:pPr>
        <w:pStyle w:val="Heading1"/>
        <w:pBdr>
          <w:top w:val="single" w:sz="4" w:space="1" w:color="auto"/>
          <w:left w:val="single" w:sz="4" w:space="4" w:color="auto"/>
          <w:bottom w:val="single" w:sz="4" w:space="1" w:color="auto"/>
          <w:right w:val="single" w:sz="4" w:space="4" w:color="auto"/>
        </w:pBdr>
        <w:rPr>
          <w:rFonts w:cs="Arial"/>
          <w:b w:val="0"/>
        </w:rPr>
      </w:pPr>
    </w:p>
    <w:p w:rsidR="00BE0453" w:rsidRPr="00D65808"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sidRPr="00D65808">
        <w:rPr>
          <w:rFonts w:cs="Arial"/>
          <w:b/>
        </w:rPr>
        <w:t xml:space="preserve">Recommendations: </w:t>
      </w:r>
      <w:r w:rsidR="00A03D60" w:rsidRPr="00D65808">
        <w:rPr>
          <w:rFonts w:cs="Arial"/>
          <w:b/>
        </w:rPr>
        <w:t xml:space="preserve"> </w:t>
      </w:r>
      <w:r w:rsidR="001615EE" w:rsidRPr="001615EE">
        <w:rPr>
          <w:rFonts w:cs="Arial"/>
        </w:rPr>
        <w:t>That the City Executive Board</w:t>
      </w:r>
      <w:r w:rsidR="001615EE">
        <w:rPr>
          <w:rFonts w:cs="Arial"/>
        </w:rPr>
        <w:t>:</w:t>
      </w:r>
    </w:p>
    <w:p w:rsidR="00BE0453" w:rsidRDefault="001615EE" w:rsidP="0085746F">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Approve the</w:t>
      </w:r>
      <w:r w:rsidR="00D65808">
        <w:t xml:space="preserve"> Financial Assistance F</w:t>
      </w:r>
      <w:r w:rsidR="00357A2A">
        <w:t xml:space="preserve">ramework set out in Appendix </w:t>
      </w:r>
      <w:r w:rsidR="00A831D3">
        <w:t>2</w:t>
      </w:r>
      <w:r w:rsidR="00D65808">
        <w:t xml:space="preserve"> of this report</w:t>
      </w:r>
      <w:r>
        <w:t>.</w:t>
      </w:r>
      <w:r w:rsidR="00D65808">
        <w:t xml:space="preserve"> The </w:t>
      </w:r>
      <w:r w:rsidR="003159DE">
        <w:t>f</w:t>
      </w:r>
      <w:r w:rsidR="00D65808">
        <w:t>ramework sets out the repayment options which may be offered to leaseholders being charged for major works undertaken by the Council on residential blocks</w:t>
      </w:r>
      <w:r w:rsidR="003159DE">
        <w:t xml:space="preserve"> of flats</w:t>
      </w:r>
      <w:r w:rsidR="00D65808">
        <w:t>.</w:t>
      </w:r>
    </w:p>
    <w:p w:rsidR="002F704F" w:rsidRDefault="002F704F" w:rsidP="002F704F">
      <w:pPr>
        <w:pBdr>
          <w:top w:val="single" w:sz="4" w:space="1" w:color="auto"/>
          <w:left w:val="single" w:sz="4" w:space="4" w:color="auto"/>
          <w:bottom w:val="single" w:sz="4" w:space="1" w:color="auto"/>
          <w:right w:val="single" w:sz="4" w:space="4" w:color="auto"/>
        </w:pBdr>
        <w:tabs>
          <w:tab w:val="left" w:pos="709"/>
        </w:tabs>
      </w:pPr>
    </w:p>
    <w:p w:rsidR="00CC39A4" w:rsidRDefault="001615EE" w:rsidP="00CC39A4">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Agree t</w:t>
      </w:r>
      <w:r w:rsidR="00D65808">
        <w:t>hat</w:t>
      </w:r>
      <w:r w:rsidR="00CC39A4">
        <w:t xml:space="preserve"> wher</w:t>
      </w:r>
      <w:bookmarkStart w:id="0" w:name="_GoBack"/>
      <w:bookmarkEnd w:id="0"/>
      <w:r w:rsidR="00CC39A4">
        <w:t>e leaseholders are unable to pay a major works invoice in full within 14 days of receipt, they are entitled to apply for assistance under the Financial Assistance Framework. Applications will be assessed based on the</w:t>
      </w:r>
      <w:r w:rsidR="00D65808">
        <w:t xml:space="preserve"> </w:t>
      </w:r>
      <w:r w:rsidR="00CC39A4">
        <w:t xml:space="preserve">qualifying eligibility criteria as set out in this report. </w:t>
      </w:r>
    </w:p>
    <w:p w:rsidR="00CC39A4" w:rsidRDefault="00CC39A4" w:rsidP="00CC39A4">
      <w:pPr>
        <w:pBdr>
          <w:top w:val="single" w:sz="4" w:space="1" w:color="auto"/>
          <w:left w:val="single" w:sz="4" w:space="4" w:color="auto"/>
          <w:bottom w:val="single" w:sz="4" w:space="1" w:color="auto"/>
          <w:right w:val="single" w:sz="4" w:space="4" w:color="auto"/>
        </w:pBdr>
        <w:tabs>
          <w:tab w:val="left" w:pos="709"/>
        </w:tabs>
      </w:pPr>
    </w:p>
    <w:p w:rsidR="00C86C3B" w:rsidRDefault="001615EE" w:rsidP="00C86C3B">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Delegate</w:t>
      </w:r>
      <w:r w:rsidR="00D65808">
        <w:t xml:space="preserve"> authority to the Head of Finance</w:t>
      </w:r>
      <w:r w:rsidR="002B120A">
        <w:t xml:space="preserve"> </w:t>
      </w:r>
      <w:r w:rsidR="003159DE">
        <w:t>and</w:t>
      </w:r>
      <w:r w:rsidR="00136479">
        <w:t xml:space="preserve"> the Head of Housing </w:t>
      </w:r>
      <w:r w:rsidR="00CC39A4">
        <w:t>&amp;</w:t>
      </w:r>
      <w:r w:rsidR="00136479">
        <w:t xml:space="preserve"> Property</w:t>
      </w:r>
      <w:r w:rsidR="00D65808">
        <w:t xml:space="preserve"> to </w:t>
      </w:r>
      <w:r w:rsidR="00CC39A4">
        <w:t>operate the Financial Assistance Fra</w:t>
      </w:r>
      <w:r w:rsidR="0026021E">
        <w:t xml:space="preserve">mework and the assessment process. </w:t>
      </w:r>
      <w:r w:rsidR="00CC39A4">
        <w:t xml:space="preserve"> </w:t>
      </w:r>
      <w:r w:rsidR="00D65808">
        <w:t xml:space="preserve"> </w:t>
      </w: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C86C3B" w:rsidRDefault="001615EE" w:rsidP="00C86C3B">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Recommend t</w:t>
      </w:r>
      <w:r w:rsidR="00C86C3B">
        <w:t xml:space="preserve">hat </w:t>
      </w:r>
      <w:r>
        <w:t>Council adopt</w:t>
      </w:r>
      <w:r w:rsidR="00C86C3B">
        <w:t xml:space="preserve"> the process for dealing with exceptional hardship as set out in “</w:t>
      </w:r>
      <w:r w:rsidR="00C86C3B" w:rsidRPr="00C86C3B">
        <w:rPr>
          <w:i/>
        </w:rPr>
        <w:t>The Social Landlords Discretionary Reduction of Service Charges (England) Directions 2014</w:t>
      </w:r>
      <w:r w:rsidR="00C86C3B">
        <w:t>”.</w:t>
      </w: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D55747" w:rsidRPr="00D55747" w:rsidRDefault="00C86C3B">
      <w:pPr>
        <w:rPr>
          <w:rFonts w:cs="Arial"/>
          <w:b/>
        </w:rPr>
      </w:pPr>
      <w:r>
        <w:rPr>
          <w:rFonts w:cs="Arial"/>
          <w:b/>
        </w:rPr>
        <w:br w:type="page"/>
      </w:r>
      <w:r w:rsidR="00D55747" w:rsidRPr="00D55747">
        <w:rPr>
          <w:rFonts w:cs="Arial"/>
          <w:b/>
        </w:rPr>
        <w:lastRenderedPageBreak/>
        <w:t>Appendices to report</w:t>
      </w:r>
    </w:p>
    <w:p w:rsidR="00D55747" w:rsidRPr="007F51A8" w:rsidRDefault="00D55747">
      <w:pPr>
        <w:rPr>
          <w:rFonts w:cs="Arial"/>
        </w:rPr>
      </w:pPr>
      <w:r w:rsidRPr="007F51A8">
        <w:rPr>
          <w:rFonts w:cs="Arial"/>
        </w:rPr>
        <w:t xml:space="preserve">Appendix 1 – </w:t>
      </w:r>
      <w:r w:rsidR="007F51A8" w:rsidRPr="007F51A8">
        <w:rPr>
          <w:rFonts w:cs="Arial"/>
          <w:bCs/>
        </w:rPr>
        <w:t>Statutory Right to a Loan</w:t>
      </w:r>
    </w:p>
    <w:p w:rsidR="00D55747" w:rsidRDefault="00D55747">
      <w:r w:rsidRPr="007F51A8">
        <w:rPr>
          <w:rFonts w:cs="Arial"/>
        </w:rPr>
        <w:t xml:space="preserve">Appendix 2 – </w:t>
      </w:r>
      <w:r w:rsidR="0085746F" w:rsidRPr="007F51A8">
        <w:rPr>
          <w:rFonts w:cs="Arial"/>
        </w:rPr>
        <w:t>Financial Assistance Framework</w:t>
      </w:r>
      <w:r w:rsidR="0085746F" w:rsidRPr="007F51A8">
        <w:t xml:space="preserve"> </w:t>
      </w:r>
    </w:p>
    <w:p w:rsidR="003B47D7" w:rsidRPr="007F51A8" w:rsidRDefault="003B47D7">
      <w:pPr>
        <w:rPr>
          <w:rFonts w:cs="Arial"/>
        </w:rPr>
      </w:pPr>
      <w:r>
        <w:rPr>
          <w:rFonts w:eastAsia="Calibri" w:cs="Arial"/>
          <w:bCs/>
        </w:rPr>
        <w:t>Appendix 3 – Eligibility Scenarios</w:t>
      </w:r>
    </w:p>
    <w:p w:rsidR="00357A2A" w:rsidRPr="007F51A8" w:rsidRDefault="00357A2A" w:rsidP="007F51A8">
      <w:pPr>
        <w:jc w:val="both"/>
        <w:rPr>
          <w:rFonts w:cs="Arial"/>
          <w:b/>
        </w:rPr>
      </w:pPr>
      <w:r>
        <w:rPr>
          <w:rFonts w:cs="Arial"/>
        </w:rPr>
        <w:t xml:space="preserve">Appendix </w:t>
      </w:r>
      <w:r w:rsidR="003B47D7">
        <w:rPr>
          <w:rFonts w:cs="Arial"/>
        </w:rPr>
        <w:t>4</w:t>
      </w:r>
      <w:r>
        <w:rPr>
          <w:rFonts w:cs="Arial"/>
        </w:rPr>
        <w:t xml:space="preserve"> –</w:t>
      </w:r>
      <w:r w:rsidR="007F51A8">
        <w:rPr>
          <w:rFonts w:cs="Arial"/>
          <w:b/>
        </w:rPr>
        <w:t xml:space="preserve"> </w:t>
      </w:r>
      <w:r w:rsidR="0085746F" w:rsidRPr="007F51A8">
        <w:t>Initial Equality Impact Assessment</w:t>
      </w:r>
    </w:p>
    <w:p w:rsidR="00357A2A" w:rsidRDefault="00357A2A">
      <w:pPr>
        <w:rPr>
          <w:rFonts w:cs="Arial"/>
        </w:rPr>
      </w:pPr>
      <w:r>
        <w:rPr>
          <w:rFonts w:cs="Arial"/>
        </w:rPr>
        <w:t xml:space="preserve">Appendix </w:t>
      </w:r>
      <w:r w:rsidR="003B47D7">
        <w:rPr>
          <w:rFonts w:cs="Arial"/>
        </w:rPr>
        <w:t>5</w:t>
      </w:r>
      <w:r>
        <w:rPr>
          <w:rFonts w:cs="Arial"/>
        </w:rPr>
        <w:t xml:space="preserve"> – </w:t>
      </w:r>
      <w:r w:rsidR="007F51A8">
        <w:rPr>
          <w:rFonts w:cs="Arial"/>
        </w:rPr>
        <w:t xml:space="preserve">Risk </w:t>
      </w:r>
      <w:r w:rsidR="001C56C4">
        <w:rPr>
          <w:rFonts w:cs="Arial"/>
        </w:rPr>
        <w:t>Register</w:t>
      </w:r>
    </w:p>
    <w:p w:rsidR="00357A2A" w:rsidRDefault="00357A2A">
      <w:pPr>
        <w:rPr>
          <w:rFonts w:cs="Arial"/>
        </w:rPr>
      </w:pPr>
    </w:p>
    <w:p w:rsidR="00357A2A" w:rsidRPr="00681438" w:rsidRDefault="00357A2A">
      <w:pPr>
        <w:rPr>
          <w:rFonts w:cs="Arial"/>
        </w:rPr>
      </w:pPr>
    </w:p>
    <w:p w:rsidR="00713675" w:rsidRDefault="00540B00" w:rsidP="002F704F">
      <w:pPr>
        <w:rPr>
          <w:rFonts w:cs="Arial"/>
          <w:b/>
        </w:rPr>
      </w:pPr>
      <w:r w:rsidRPr="00681438">
        <w:rPr>
          <w:rFonts w:cs="Arial"/>
          <w:b/>
        </w:rPr>
        <w:t>Background</w:t>
      </w:r>
    </w:p>
    <w:p w:rsidR="00357A2A" w:rsidRPr="00681438" w:rsidRDefault="00357A2A" w:rsidP="009D163B">
      <w:pPr>
        <w:ind w:firstLine="426"/>
        <w:rPr>
          <w:rFonts w:cs="Arial"/>
          <w:b/>
        </w:rPr>
      </w:pPr>
    </w:p>
    <w:p w:rsidR="00D65808" w:rsidRDefault="00FB45FE"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Oxford City Council </w:t>
      </w:r>
      <w:r w:rsidR="004F19BC" w:rsidRPr="00ED2339">
        <w:rPr>
          <w:rFonts w:eastAsiaTheme="minorHAnsi" w:cstheme="minorHAnsi"/>
        </w:rPr>
        <w:t xml:space="preserve">still retains legal ownership of </w:t>
      </w:r>
      <w:r w:rsidR="00F00B9C" w:rsidRPr="00ED2339">
        <w:rPr>
          <w:rFonts w:eastAsiaTheme="minorHAnsi" w:cstheme="minorHAnsi"/>
        </w:rPr>
        <w:t xml:space="preserve">644 </w:t>
      </w:r>
      <w:r w:rsidR="004F19BC" w:rsidRPr="00ED2339">
        <w:rPr>
          <w:rFonts w:eastAsiaTheme="minorHAnsi" w:cstheme="minorHAnsi"/>
        </w:rPr>
        <w:t xml:space="preserve">leasehold dwellings previously sold under Right to Buy (RTB) and consequently still retains </w:t>
      </w:r>
      <w:r w:rsidR="00BB6ACB" w:rsidRPr="00ED2339">
        <w:rPr>
          <w:rFonts w:eastAsiaTheme="minorHAnsi" w:cstheme="minorHAnsi"/>
        </w:rPr>
        <w:t xml:space="preserve">obligations to maintain the structure and exterior of blocks </w:t>
      </w:r>
      <w:r w:rsidR="003A6588" w:rsidRPr="00ED2339">
        <w:rPr>
          <w:rFonts w:eastAsiaTheme="minorHAnsi" w:cstheme="minorHAnsi"/>
        </w:rPr>
        <w:t>of leasehold</w:t>
      </w:r>
      <w:r w:rsidR="00BB6ACB" w:rsidRPr="00ED2339">
        <w:rPr>
          <w:rFonts w:eastAsiaTheme="minorHAnsi" w:cstheme="minorHAnsi"/>
        </w:rPr>
        <w:t xml:space="preserve"> flats</w:t>
      </w:r>
      <w:r w:rsidR="004F19BC" w:rsidRPr="00ED2339">
        <w:rPr>
          <w:rFonts w:eastAsiaTheme="minorHAnsi" w:cstheme="minorHAnsi"/>
        </w:rPr>
        <w:t xml:space="preserve">. </w:t>
      </w:r>
      <w:r w:rsidR="00BB6ACB" w:rsidRPr="00ED2339">
        <w:rPr>
          <w:rFonts w:eastAsiaTheme="minorHAnsi" w:cstheme="minorHAnsi"/>
        </w:rPr>
        <w:t xml:space="preserve"> </w:t>
      </w:r>
      <w:r w:rsidR="004F19BC" w:rsidRPr="00ED2339">
        <w:rPr>
          <w:rFonts w:eastAsiaTheme="minorHAnsi" w:cstheme="minorHAnsi"/>
        </w:rPr>
        <w:t>L</w:t>
      </w:r>
      <w:r w:rsidR="00BB6ACB" w:rsidRPr="00ED2339">
        <w:rPr>
          <w:rFonts w:eastAsiaTheme="minorHAnsi" w:cstheme="minorHAnsi"/>
        </w:rPr>
        <w:t xml:space="preserve">easeholders have </w:t>
      </w:r>
      <w:r w:rsidR="004F19BC" w:rsidRPr="00ED2339">
        <w:rPr>
          <w:rFonts w:eastAsiaTheme="minorHAnsi" w:cstheme="minorHAnsi"/>
        </w:rPr>
        <w:t xml:space="preserve">a </w:t>
      </w:r>
      <w:r w:rsidR="003A6588" w:rsidRPr="00ED2339">
        <w:rPr>
          <w:rFonts w:eastAsiaTheme="minorHAnsi" w:cstheme="minorHAnsi"/>
        </w:rPr>
        <w:t>responsibility to</w:t>
      </w:r>
      <w:r w:rsidR="00BB6ACB" w:rsidRPr="00ED2339">
        <w:rPr>
          <w:rFonts w:eastAsiaTheme="minorHAnsi" w:cstheme="minorHAnsi"/>
        </w:rPr>
        <w:t xml:space="preserve"> pay a proportion of </w:t>
      </w:r>
      <w:r w:rsidR="004F19BC" w:rsidRPr="00ED2339">
        <w:rPr>
          <w:rFonts w:eastAsiaTheme="minorHAnsi" w:cstheme="minorHAnsi"/>
        </w:rPr>
        <w:t xml:space="preserve">any major structural/exterior repairs </w:t>
      </w:r>
      <w:r w:rsidR="003A6588" w:rsidRPr="00ED2339">
        <w:rPr>
          <w:rFonts w:eastAsiaTheme="minorHAnsi" w:cstheme="minorHAnsi"/>
        </w:rPr>
        <w:t>via annual</w:t>
      </w:r>
      <w:r w:rsidR="004F19BC" w:rsidRPr="00ED2339">
        <w:rPr>
          <w:rFonts w:eastAsiaTheme="minorHAnsi" w:cstheme="minorHAnsi"/>
        </w:rPr>
        <w:t xml:space="preserve"> </w:t>
      </w:r>
      <w:r w:rsidR="00BB6ACB" w:rsidRPr="00ED2339">
        <w:rPr>
          <w:rFonts w:eastAsiaTheme="minorHAnsi" w:cstheme="minorHAnsi"/>
        </w:rPr>
        <w:t>service charges</w:t>
      </w:r>
      <w:r w:rsidR="003A6588" w:rsidRPr="00ED2339">
        <w:rPr>
          <w:rFonts w:eastAsiaTheme="minorHAnsi" w:cstheme="minorHAnsi"/>
        </w:rPr>
        <w:t xml:space="preserve">. The charge is based on the </w:t>
      </w:r>
      <w:r w:rsidR="000830F1" w:rsidRPr="00ED2339">
        <w:rPr>
          <w:rFonts w:eastAsiaTheme="minorHAnsi" w:cstheme="minorHAnsi"/>
        </w:rPr>
        <w:t>number of flats in the block</w:t>
      </w:r>
      <w:r w:rsidR="008D3A23" w:rsidRPr="00ED2339">
        <w:rPr>
          <w:rFonts w:eastAsiaTheme="minorHAnsi" w:cstheme="minorHAnsi"/>
        </w:rPr>
        <w:t xml:space="preserve"> and in cases of major works the charge may be considerable.</w:t>
      </w:r>
      <w:r w:rsidR="00BB6ACB" w:rsidRPr="00ED2339">
        <w:rPr>
          <w:rFonts w:eastAsiaTheme="minorHAnsi" w:cstheme="minorHAnsi"/>
        </w:rPr>
        <w:t xml:space="preserve">  </w:t>
      </w:r>
      <w:r w:rsidR="00F00B9C" w:rsidRPr="00ED2339">
        <w:rPr>
          <w:rFonts w:eastAsiaTheme="minorHAnsi" w:cstheme="minorHAnsi"/>
        </w:rPr>
        <w:t>Statutory c</w:t>
      </w:r>
      <w:r w:rsidR="00BB6ACB" w:rsidRPr="00ED2339">
        <w:rPr>
          <w:rFonts w:eastAsiaTheme="minorHAnsi" w:cstheme="minorHAnsi"/>
        </w:rPr>
        <w:t xml:space="preserve">onsultation with leaseholders and other residents </w:t>
      </w:r>
      <w:r w:rsidR="00B80F37" w:rsidRPr="00ED2339">
        <w:rPr>
          <w:rFonts w:eastAsiaTheme="minorHAnsi" w:cstheme="minorHAnsi"/>
        </w:rPr>
        <w:t>is</w:t>
      </w:r>
      <w:r w:rsidR="00BB6ACB" w:rsidRPr="00ED2339">
        <w:rPr>
          <w:rFonts w:eastAsiaTheme="minorHAnsi" w:cstheme="minorHAnsi"/>
        </w:rPr>
        <w:t xml:space="preserve"> undertaken before the commencement of any major works to a building. </w:t>
      </w:r>
    </w:p>
    <w:p w:rsidR="00ED2339" w:rsidRPr="00ED2339" w:rsidRDefault="00ED2339" w:rsidP="00ED2339">
      <w:pPr>
        <w:pStyle w:val="ListParagraph"/>
        <w:spacing w:after="200" w:line="276" w:lineRule="auto"/>
        <w:ind w:left="360"/>
        <w:contextualSpacing/>
        <w:rPr>
          <w:rFonts w:eastAsiaTheme="minorHAnsi" w:cstheme="minorHAnsi"/>
        </w:rPr>
      </w:pPr>
    </w:p>
    <w:p w:rsidR="00F00B9C" w:rsidRPr="00ED2339" w:rsidRDefault="00F00B9C"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Leaseholders may be resident or non-resident.  Non-resident leaseholders may be an individual who rents the property out on the private rental market or they may also be an investor or investors who rent out a number of former council properties in this way.  In each case the provisions of the lease together with the rights and obligations contained within would apply regardless.  The number of leaseholders will continue to increase as properties are sold under the Right to Buy.</w:t>
      </w:r>
    </w:p>
    <w:p w:rsidR="008973B1" w:rsidRPr="00ED2339" w:rsidRDefault="008973B1" w:rsidP="00ED2339">
      <w:pPr>
        <w:pStyle w:val="ListParagraph"/>
        <w:spacing w:after="200" w:line="276" w:lineRule="auto"/>
        <w:ind w:left="709"/>
        <w:contextualSpacing/>
        <w:rPr>
          <w:rFonts w:eastAsiaTheme="minorHAnsi" w:cstheme="minorHAnsi"/>
        </w:rPr>
      </w:pPr>
    </w:p>
    <w:p w:rsidR="001D2574" w:rsidRDefault="001D2574"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The </w:t>
      </w:r>
      <w:r w:rsidR="003159DE">
        <w:rPr>
          <w:rFonts w:eastAsiaTheme="minorHAnsi" w:cstheme="minorHAnsi"/>
        </w:rPr>
        <w:t>Housing Revenue Account (</w:t>
      </w:r>
      <w:r w:rsidRPr="00ED2339">
        <w:rPr>
          <w:rFonts w:eastAsiaTheme="minorHAnsi" w:cstheme="minorHAnsi"/>
        </w:rPr>
        <w:t>HRA</w:t>
      </w:r>
      <w:r w:rsidR="003159DE">
        <w:rPr>
          <w:rFonts w:eastAsiaTheme="minorHAnsi" w:cstheme="minorHAnsi"/>
        </w:rPr>
        <w:t>)</w:t>
      </w:r>
      <w:r w:rsidRPr="00ED2339">
        <w:rPr>
          <w:rFonts w:eastAsiaTheme="minorHAnsi" w:cstheme="minorHAnsi"/>
        </w:rPr>
        <w:t xml:space="preserve"> </w:t>
      </w:r>
      <w:r w:rsidR="003159DE">
        <w:rPr>
          <w:rFonts w:eastAsiaTheme="minorHAnsi" w:cstheme="minorHAnsi"/>
        </w:rPr>
        <w:t>c</w:t>
      </w:r>
      <w:r w:rsidRPr="00ED2339">
        <w:rPr>
          <w:rFonts w:eastAsiaTheme="minorHAnsi" w:cstheme="minorHAnsi"/>
        </w:rPr>
        <w:t xml:space="preserve">apital </w:t>
      </w:r>
      <w:r w:rsidR="003159DE">
        <w:rPr>
          <w:rFonts w:eastAsiaTheme="minorHAnsi" w:cstheme="minorHAnsi"/>
        </w:rPr>
        <w:t>p</w:t>
      </w:r>
      <w:r w:rsidRPr="00ED2339">
        <w:rPr>
          <w:rFonts w:eastAsiaTheme="minorHAnsi" w:cstheme="minorHAnsi"/>
        </w:rPr>
        <w:t xml:space="preserve">rogramme and business plan includes provision for refurbishment and other major works on residential flat blocks throughout Oxford. Major works can also arise outside of the capital programme for instance where an unexpected major repair is needed to a block of flats, for example major roof damage in a storm.  </w:t>
      </w:r>
    </w:p>
    <w:p w:rsidR="0085627B" w:rsidRPr="0085627B" w:rsidRDefault="0085627B" w:rsidP="0085627B">
      <w:pPr>
        <w:pStyle w:val="ListParagraph"/>
        <w:ind w:left="709"/>
        <w:rPr>
          <w:rFonts w:eastAsiaTheme="minorHAnsi" w:cstheme="minorHAnsi"/>
        </w:rPr>
      </w:pPr>
    </w:p>
    <w:p w:rsidR="0085627B" w:rsidRDefault="0085627B" w:rsidP="00B97552">
      <w:pPr>
        <w:pStyle w:val="ListParagraph"/>
        <w:numPr>
          <w:ilvl w:val="0"/>
          <w:numId w:val="18"/>
        </w:numPr>
        <w:spacing w:after="200" w:line="276" w:lineRule="auto"/>
        <w:contextualSpacing/>
        <w:rPr>
          <w:rFonts w:eastAsiaTheme="minorHAnsi" w:cstheme="minorHAnsi"/>
        </w:rPr>
      </w:pPr>
      <w:r>
        <w:rPr>
          <w:rFonts w:eastAsiaTheme="minorHAnsi" w:cstheme="minorHAnsi"/>
        </w:rPr>
        <w:t>T</w:t>
      </w:r>
      <w:r w:rsidRPr="00ED2339">
        <w:rPr>
          <w:rFonts w:eastAsiaTheme="minorHAnsi" w:cstheme="minorHAnsi"/>
        </w:rPr>
        <w:t xml:space="preserve">he general provisions for </w:t>
      </w:r>
      <w:r>
        <w:rPr>
          <w:rFonts w:eastAsiaTheme="minorHAnsi" w:cstheme="minorHAnsi"/>
        </w:rPr>
        <w:t xml:space="preserve">the </w:t>
      </w:r>
      <w:r w:rsidRPr="00ED2339">
        <w:rPr>
          <w:rFonts w:eastAsiaTheme="minorHAnsi" w:cstheme="minorHAnsi"/>
        </w:rPr>
        <w:t>recovery of service charges and major works</w:t>
      </w:r>
      <w:r>
        <w:rPr>
          <w:rFonts w:eastAsiaTheme="minorHAnsi" w:cstheme="minorHAnsi"/>
        </w:rPr>
        <w:t xml:space="preserve"> liabilities are set out in the respective </w:t>
      </w:r>
      <w:r w:rsidRPr="00ED2339">
        <w:rPr>
          <w:rFonts w:eastAsiaTheme="minorHAnsi" w:cstheme="minorHAnsi"/>
        </w:rPr>
        <w:t>lease</w:t>
      </w:r>
      <w:r>
        <w:rPr>
          <w:rFonts w:eastAsiaTheme="minorHAnsi" w:cstheme="minorHAnsi"/>
        </w:rPr>
        <w:t>s of individual leaseholders</w:t>
      </w:r>
      <w:r w:rsidRPr="00ED2339">
        <w:rPr>
          <w:rFonts w:eastAsiaTheme="minorHAnsi" w:cstheme="minorHAnsi"/>
        </w:rPr>
        <w:t xml:space="preserve">. </w:t>
      </w:r>
    </w:p>
    <w:p w:rsidR="005C1F6B" w:rsidRPr="005C1F6B" w:rsidRDefault="005C1F6B" w:rsidP="005C1F6B">
      <w:pPr>
        <w:pStyle w:val="ListParagraph"/>
        <w:rPr>
          <w:rFonts w:eastAsiaTheme="minorHAnsi" w:cstheme="minorHAnsi"/>
        </w:rPr>
      </w:pPr>
    </w:p>
    <w:p w:rsidR="005C1F6B" w:rsidRPr="005C1F6B" w:rsidRDefault="005C1F6B" w:rsidP="00B97552">
      <w:pPr>
        <w:pStyle w:val="ListParagraph"/>
        <w:numPr>
          <w:ilvl w:val="0"/>
          <w:numId w:val="18"/>
        </w:numPr>
        <w:spacing w:after="200" w:line="276" w:lineRule="auto"/>
        <w:contextualSpacing/>
        <w:rPr>
          <w:rFonts w:eastAsiaTheme="minorHAnsi" w:cstheme="minorHAnsi"/>
        </w:rPr>
      </w:pPr>
      <w:r w:rsidRPr="005C1F6B">
        <w:rPr>
          <w:rFonts w:eastAsiaTheme="minorHAnsi" w:cstheme="minorHAnsi"/>
        </w:rPr>
        <w:t xml:space="preserve">Sinking fund contributions are payments made by leaseholders, alongside service charges, to build up a fund to pay for major works that may occur in the future, taking into account the various replacements or renewal of major works items likely over the lifetime of a flat block. Sinking funds are more common in the housing association sector, and they are set up when </w:t>
      </w:r>
      <w:r w:rsidRPr="005C1F6B">
        <w:rPr>
          <w:rFonts w:eastAsiaTheme="minorHAnsi" w:cstheme="minorHAnsi"/>
        </w:rPr>
        <w:lastRenderedPageBreak/>
        <w:t xml:space="preserve">the flat block is constructed where typically the monthly contributions are </w:t>
      </w:r>
      <w:proofErr w:type="gramStart"/>
      <w:r w:rsidRPr="005C1F6B">
        <w:rPr>
          <w:rFonts w:eastAsiaTheme="minorHAnsi" w:cstheme="minorHAnsi"/>
        </w:rPr>
        <w:t>between £150 - £200 per month per property</w:t>
      </w:r>
      <w:proofErr w:type="gramEnd"/>
      <w:r w:rsidRPr="005C1F6B">
        <w:rPr>
          <w:rFonts w:eastAsiaTheme="minorHAnsi" w:cstheme="minorHAnsi"/>
        </w:rPr>
        <w:t xml:space="preserve">. </w:t>
      </w:r>
    </w:p>
    <w:p w:rsidR="005C1F6B" w:rsidRPr="005C1F6B" w:rsidRDefault="005C1F6B" w:rsidP="005C1F6B">
      <w:pPr>
        <w:pStyle w:val="ListParagraph"/>
        <w:tabs>
          <w:tab w:val="left" w:pos="142"/>
        </w:tabs>
        <w:spacing w:after="200" w:line="276" w:lineRule="auto"/>
        <w:ind w:left="709"/>
        <w:contextualSpacing/>
        <w:rPr>
          <w:rFonts w:eastAsiaTheme="minorHAnsi" w:cstheme="minorHAnsi"/>
        </w:rPr>
      </w:pPr>
    </w:p>
    <w:p w:rsidR="005C1F6B" w:rsidRPr="005C1F6B" w:rsidRDefault="005C1F6B" w:rsidP="00B97552">
      <w:pPr>
        <w:pStyle w:val="ListParagraph"/>
        <w:numPr>
          <w:ilvl w:val="0"/>
          <w:numId w:val="18"/>
        </w:numPr>
        <w:spacing w:after="200" w:line="276" w:lineRule="auto"/>
        <w:contextualSpacing/>
        <w:rPr>
          <w:rFonts w:eastAsiaTheme="minorHAnsi" w:cstheme="minorHAnsi"/>
        </w:rPr>
      </w:pPr>
      <w:r w:rsidRPr="005C1F6B">
        <w:rPr>
          <w:rFonts w:eastAsiaTheme="minorHAnsi" w:cstheme="minorHAnsi"/>
        </w:rPr>
        <w:t xml:space="preserve">The leases for Oxford City Council leaseholders, in common with most other local authorities, do not make provision for sinking fund contributions. While this means that Oxford City Council leaseholders will have lower overall bills throughout the year compared with non-Council leaseholders, it does mean that they will get larger one-off bills when major works are carried out. </w:t>
      </w:r>
    </w:p>
    <w:p w:rsidR="005C1F6B" w:rsidRDefault="005C1F6B" w:rsidP="005C1F6B">
      <w:pPr>
        <w:pStyle w:val="ListParagraph"/>
        <w:ind w:left="360"/>
      </w:pPr>
    </w:p>
    <w:p w:rsidR="0085627B" w:rsidRPr="0085627B" w:rsidRDefault="0085627B" w:rsidP="00B97552">
      <w:pPr>
        <w:pStyle w:val="ListParagraph"/>
        <w:numPr>
          <w:ilvl w:val="0"/>
          <w:numId w:val="18"/>
        </w:numPr>
        <w:spacing w:after="200" w:line="276" w:lineRule="auto"/>
        <w:contextualSpacing/>
        <w:rPr>
          <w:rFonts w:eastAsiaTheme="minorHAnsi" w:cstheme="minorHAnsi"/>
        </w:rPr>
      </w:pPr>
      <w:r w:rsidRPr="0085627B">
        <w:rPr>
          <w:rFonts w:eastAsiaTheme="minorHAnsi" w:cstheme="minorHAnsi"/>
        </w:rPr>
        <w:t xml:space="preserve">Leaseholders are required to settle their major works bills within 14 days of invoice. Failure to comply or otherwise make an arrangement with the </w:t>
      </w:r>
      <w:proofErr w:type="gramStart"/>
      <w:r w:rsidRPr="0085627B">
        <w:rPr>
          <w:rFonts w:eastAsiaTheme="minorHAnsi" w:cstheme="minorHAnsi"/>
        </w:rPr>
        <w:t>Council,</w:t>
      </w:r>
      <w:proofErr w:type="gramEnd"/>
      <w:r w:rsidRPr="0085627B">
        <w:rPr>
          <w:rFonts w:eastAsiaTheme="minorHAnsi" w:cstheme="minorHAnsi"/>
        </w:rPr>
        <w:t xml:space="preserve"> would leave them liable for forfeiture proceedings so that the outstanding debt can be settled on re-sale of the property.</w:t>
      </w:r>
    </w:p>
    <w:p w:rsidR="0085627B" w:rsidRPr="00ED2339" w:rsidRDefault="0085627B" w:rsidP="0085627B">
      <w:pPr>
        <w:pStyle w:val="ListParagraph"/>
        <w:spacing w:after="200" w:line="276" w:lineRule="auto"/>
        <w:ind w:left="709"/>
        <w:contextualSpacing/>
        <w:rPr>
          <w:rFonts w:eastAsiaTheme="minorHAnsi" w:cstheme="minorHAnsi"/>
        </w:rPr>
      </w:pPr>
    </w:p>
    <w:p w:rsidR="00873ECD" w:rsidRPr="00ED2339" w:rsidRDefault="00873ECD"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Although requiring leaseholders to pay major work recharges, there is currently no policy or framework in place which sets out how the Council can assist leaseholders to meet their repayment obligations.  </w:t>
      </w:r>
    </w:p>
    <w:p w:rsidR="00873ECD" w:rsidRPr="00ED2339" w:rsidRDefault="00873ECD" w:rsidP="00ED2339">
      <w:pPr>
        <w:pStyle w:val="ListParagraph"/>
        <w:spacing w:after="200" w:line="276" w:lineRule="auto"/>
        <w:ind w:left="709"/>
        <w:contextualSpacing/>
        <w:rPr>
          <w:rFonts w:eastAsiaTheme="minorHAnsi" w:cstheme="minorHAnsi"/>
        </w:rPr>
      </w:pPr>
    </w:p>
    <w:p w:rsidR="006B3520" w:rsidRPr="00ED2339" w:rsidRDefault="006B3520"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Leaseholders, as owner-occupiers, are expected to make a reasonable contribution towards repairs or improvements carried out in their flat block. The rental income from tenants should not be used to subsidise leaseholders. Repairs and improvements carried out will ultimately benefit the leaseholder as it will help to maintain the value of their asset over time. </w:t>
      </w:r>
    </w:p>
    <w:p w:rsidR="0056761E" w:rsidRPr="00681438" w:rsidRDefault="0056761E" w:rsidP="00EA3293">
      <w:pPr>
        <w:ind w:left="426" w:hanging="426"/>
        <w:rPr>
          <w:rFonts w:cs="Arial"/>
        </w:rPr>
      </w:pPr>
    </w:p>
    <w:p w:rsidR="00935929" w:rsidRDefault="00935929" w:rsidP="002F704F">
      <w:pPr>
        <w:autoSpaceDE w:val="0"/>
        <w:autoSpaceDN w:val="0"/>
        <w:adjustRightInd w:val="0"/>
        <w:ind w:left="426" w:hanging="426"/>
        <w:rPr>
          <w:rFonts w:eastAsia="Calibri" w:cs="Arial"/>
          <w:b/>
          <w:bCs/>
          <w:color w:val="000000"/>
        </w:rPr>
      </w:pPr>
      <w:r w:rsidRPr="00681438">
        <w:rPr>
          <w:rFonts w:eastAsia="Calibri" w:cs="Arial"/>
          <w:b/>
          <w:bCs/>
          <w:color w:val="000000"/>
        </w:rPr>
        <w:t xml:space="preserve">The </w:t>
      </w:r>
      <w:r w:rsidR="00540B00" w:rsidRPr="00681438">
        <w:rPr>
          <w:rFonts w:eastAsia="Calibri" w:cs="Arial"/>
          <w:b/>
          <w:bCs/>
          <w:color w:val="000000"/>
        </w:rPr>
        <w:t>Statutory R</w:t>
      </w:r>
      <w:r w:rsidRPr="00681438">
        <w:rPr>
          <w:rFonts w:eastAsia="Calibri" w:cs="Arial"/>
          <w:b/>
          <w:bCs/>
          <w:color w:val="000000"/>
        </w:rPr>
        <w:t xml:space="preserve">ight to a loan </w:t>
      </w:r>
    </w:p>
    <w:p w:rsidR="00357A2A" w:rsidRPr="00681438" w:rsidRDefault="00357A2A" w:rsidP="009D163B">
      <w:pPr>
        <w:autoSpaceDE w:val="0"/>
        <w:autoSpaceDN w:val="0"/>
        <w:adjustRightInd w:val="0"/>
        <w:ind w:left="426"/>
        <w:rPr>
          <w:rFonts w:eastAsia="Calibri" w:cs="Arial"/>
          <w:b/>
          <w:bCs/>
          <w:color w:val="000000"/>
        </w:rPr>
      </w:pPr>
    </w:p>
    <w:p w:rsidR="009C4780" w:rsidRPr="00ED2339" w:rsidRDefault="009C4780"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The Housing (Service Charge Loans</w:t>
      </w:r>
      <w:r w:rsidR="00E35ECB">
        <w:rPr>
          <w:rFonts w:eastAsiaTheme="minorHAnsi" w:cstheme="minorHAnsi"/>
        </w:rPr>
        <w:t>)</w:t>
      </w:r>
      <w:r w:rsidRPr="00ED2339">
        <w:rPr>
          <w:rFonts w:eastAsiaTheme="minorHAnsi" w:cstheme="minorHAnsi"/>
        </w:rPr>
        <w:t xml:space="preserve"> Regulations 1992, as amended by The Housing (Service Charge Loans) (Amendment</w:t>
      </w:r>
      <w:proofErr w:type="gramStart"/>
      <w:r w:rsidRPr="00ED2339">
        <w:rPr>
          <w:rFonts w:eastAsiaTheme="minorHAnsi" w:cstheme="minorHAnsi"/>
        </w:rPr>
        <w:t>)</w:t>
      </w:r>
      <w:r w:rsidR="00E35ECB">
        <w:rPr>
          <w:rFonts w:eastAsiaTheme="minorHAnsi" w:cstheme="minorHAnsi"/>
        </w:rPr>
        <w:t>(</w:t>
      </w:r>
      <w:proofErr w:type="gramEnd"/>
      <w:r w:rsidR="00E35ECB">
        <w:rPr>
          <w:rFonts w:eastAsiaTheme="minorHAnsi" w:cstheme="minorHAnsi"/>
        </w:rPr>
        <w:t>England) Regulations</w:t>
      </w:r>
      <w:r w:rsidRPr="00ED2339">
        <w:rPr>
          <w:rFonts w:eastAsiaTheme="minorHAnsi" w:cstheme="minorHAnsi"/>
        </w:rPr>
        <w:t xml:space="preserve"> 2009, sets out details of the statutory right to a loan for leaseholders. </w:t>
      </w:r>
    </w:p>
    <w:p w:rsidR="00357A2A" w:rsidRPr="00ED2339" w:rsidRDefault="00357A2A" w:rsidP="00ED2339">
      <w:pPr>
        <w:pStyle w:val="ListParagraph"/>
        <w:spacing w:after="200" w:line="276" w:lineRule="auto"/>
        <w:ind w:left="709" w:hanging="709"/>
        <w:contextualSpacing/>
        <w:rPr>
          <w:rFonts w:eastAsiaTheme="minorHAnsi" w:cstheme="minorHAnsi"/>
        </w:rPr>
      </w:pPr>
    </w:p>
    <w:p w:rsidR="00357A2A" w:rsidRPr="00ED2339" w:rsidRDefault="00357A2A"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Details of the statutory scheme are set out in Appendix 1</w:t>
      </w:r>
    </w:p>
    <w:p w:rsidR="006B3520" w:rsidRDefault="006B3520" w:rsidP="007F51A8">
      <w:pPr>
        <w:autoSpaceDE w:val="0"/>
        <w:autoSpaceDN w:val="0"/>
        <w:rPr>
          <w:b/>
          <w:bCs/>
        </w:rPr>
      </w:pPr>
      <w:r>
        <w:rPr>
          <w:b/>
          <w:bCs/>
        </w:rPr>
        <w:t>Payment in full</w:t>
      </w:r>
    </w:p>
    <w:p w:rsidR="006B3520" w:rsidRDefault="006B3520" w:rsidP="006B3520">
      <w:pPr>
        <w:autoSpaceDE w:val="0"/>
        <w:autoSpaceDN w:val="0"/>
        <w:ind w:left="720"/>
      </w:pPr>
    </w:p>
    <w:p w:rsidR="006B3520" w:rsidRPr="00ED2339" w:rsidRDefault="006B3520"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The most preferable repayment arrangement is for the leaseholder to pay the major works invoice in full, funding the payment either from savings or by obtaining a personal loan or re-mortgage from mainstream lenders. </w:t>
      </w:r>
    </w:p>
    <w:p w:rsidR="006B3520" w:rsidRPr="00ED2339" w:rsidRDefault="006B3520" w:rsidP="00ED2339">
      <w:pPr>
        <w:pStyle w:val="ListParagraph"/>
        <w:spacing w:after="200" w:line="276" w:lineRule="auto"/>
        <w:ind w:left="709"/>
        <w:contextualSpacing/>
        <w:rPr>
          <w:rFonts w:eastAsiaTheme="minorHAnsi" w:cstheme="minorHAnsi"/>
        </w:rPr>
      </w:pPr>
    </w:p>
    <w:p w:rsidR="006B3520" w:rsidRPr="00ED2339" w:rsidRDefault="006B3520"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Personal loans or a re-mortgage obtained from a mainstream lender may be provided to the leaseholder at a more attractive rate of interest overall than the Council would offer over the length of the loan. </w:t>
      </w:r>
    </w:p>
    <w:p w:rsidR="006B3520" w:rsidRPr="00ED2339" w:rsidRDefault="006B3520" w:rsidP="00ED2339">
      <w:pPr>
        <w:pStyle w:val="ListParagraph"/>
        <w:spacing w:after="200" w:line="276" w:lineRule="auto"/>
        <w:ind w:left="709"/>
        <w:contextualSpacing/>
        <w:rPr>
          <w:rFonts w:eastAsiaTheme="minorHAnsi" w:cstheme="minorHAnsi"/>
        </w:rPr>
      </w:pPr>
    </w:p>
    <w:p w:rsidR="006B3520" w:rsidRPr="00ED2339" w:rsidRDefault="006B3520"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lastRenderedPageBreak/>
        <w:t>A payment in full would avoid the costs of setting up and monitoring any loan, repayment arrangement or property charge.</w:t>
      </w:r>
    </w:p>
    <w:p w:rsidR="00395BFF" w:rsidRDefault="00395BFF" w:rsidP="00395BFF">
      <w:pPr>
        <w:widowControl w:val="0"/>
        <w:suppressAutoHyphens/>
        <w:autoSpaceDE w:val="0"/>
        <w:ind w:left="426"/>
        <w:rPr>
          <w:rFonts w:eastAsia="Calibri" w:cs="Arial"/>
          <w:color w:val="000000"/>
        </w:rPr>
      </w:pPr>
    </w:p>
    <w:p w:rsidR="002C490F" w:rsidRDefault="002C490F" w:rsidP="002C490F">
      <w:pPr>
        <w:autoSpaceDE w:val="0"/>
        <w:autoSpaceDN w:val="0"/>
        <w:ind w:left="426" w:hanging="426"/>
        <w:rPr>
          <w:b/>
          <w:bCs/>
          <w:color w:val="000000"/>
        </w:rPr>
      </w:pPr>
      <w:r>
        <w:rPr>
          <w:b/>
          <w:bCs/>
          <w:color w:val="000000"/>
        </w:rPr>
        <w:t>Discretionary Powers Available to the Council</w:t>
      </w:r>
    </w:p>
    <w:p w:rsidR="002C490F" w:rsidRDefault="002C490F" w:rsidP="002C490F">
      <w:pPr>
        <w:autoSpaceDE w:val="0"/>
        <w:autoSpaceDN w:val="0"/>
        <w:ind w:left="426" w:hanging="426"/>
        <w:rPr>
          <w:color w:val="000000"/>
        </w:rPr>
      </w:pPr>
    </w:p>
    <w:p w:rsidR="002C490F" w:rsidRPr="00ED2339" w:rsidRDefault="002F704F" w:rsidP="00B97552">
      <w:pPr>
        <w:pStyle w:val="ListParagraph"/>
        <w:numPr>
          <w:ilvl w:val="0"/>
          <w:numId w:val="18"/>
        </w:numPr>
        <w:spacing w:after="200" w:line="276" w:lineRule="auto"/>
        <w:contextualSpacing/>
        <w:rPr>
          <w:rFonts w:eastAsiaTheme="minorHAnsi" w:cstheme="minorHAnsi"/>
        </w:rPr>
      </w:pPr>
      <w:r>
        <w:rPr>
          <w:rFonts w:eastAsiaTheme="minorHAnsi" w:cstheme="minorHAnsi"/>
        </w:rPr>
        <w:t>As well as the</w:t>
      </w:r>
      <w:r w:rsidR="002C490F" w:rsidRPr="00ED2339">
        <w:rPr>
          <w:rFonts w:eastAsiaTheme="minorHAnsi" w:cstheme="minorHAnsi"/>
        </w:rPr>
        <w:t xml:space="preserve"> statutory obligations, the Council has additional powers available which it can exercise and there is an expectation that social landlords will identify strategies to assist leaseholders facing large bills. </w:t>
      </w:r>
    </w:p>
    <w:p w:rsidR="002C490F" w:rsidRPr="00ED2339" w:rsidRDefault="002C490F" w:rsidP="00ED2339">
      <w:pPr>
        <w:pStyle w:val="ListParagraph"/>
        <w:spacing w:after="200" w:line="276" w:lineRule="auto"/>
        <w:ind w:left="709"/>
        <w:contextualSpacing/>
        <w:rPr>
          <w:rFonts w:eastAsiaTheme="minorHAnsi" w:cstheme="minorHAnsi"/>
        </w:rPr>
      </w:pPr>
    </w:p>
    <w:p w:rsidR="002C490F" w:rsidRPr="00ED2339" w:rsidRDefault="002C490F"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These discretionary powers include: </w:t>
      </w:r>
    </w:p>
    <w:p w:rsidR="002C490F" w:rsidRDefault="002C490F" w:rsidP="0085746F">
      <w:pPr>
        <w:pStyle w:val="ListParagraph"/>
        <w:numPr>
          <w:ilvl w:val="0"/>
          <w:numId w:val="3"/>
        </w:numPr>
        <w:autoSpaceDE w:val="0"/>
        <w:autoSpaceDN w:val="0"/>
        <w:rPr>
          <w:color w:val="000000"/>
        </w:rPr>
      </w:pPr>
      <w:r>
        <w:rPr>
          <w:color w:val="000000"/>
        </w:rPr>
        <w:t>providing a range of repayment and loan options to leaseholders</w:t>
      </w:r>
    </w:p>
    <w:p w:rsidR="002C490F" w:rsidRDefault="002C490F" w:rsidP="0085746F">
      <w:pPr>
        <w:pStyle w:val="ListParagraph"/>
        <w:numPr>
          <w:ilvl w:val="0"/>
          <w:numId w:val="3"/>
        </w:numPr>
        <w:autoSpaceDE w:val="0"/>
        <w:autoSpaceDN w:val="0"/>
        <w:rPr>
          <w:color w:val="000000"/>
        </w:rPr>
      </w:pPr>
      <w:r>
        <w:rPr>
          <w:color w:val="000000"/>
        </w:rPr>
        <w:t>the ability to purchase equity shares and offer equity loans</w:t>
      </w:r>
    </w:p>
    <w:p w:rsidR="002C490F" w:rsidRDefault="002C490F" w:rsidP="0085746F">
      <w:pPr>
        <w:pStyle w:val="Default"/>
        <w:numPr>
          <w:ilvl w:val="0"/>
          <w:numId w:val="3"/>
        </w:numPr>
        <w:rPr>
          <w:rFonts w:ascii="Arial" w:hAnsi="Arial" w:cs="Arial"/>
        </w:rPr>
      </w:pPr>
      <w:proofErr w:type="gramStart"/>
      <w:r>
        <w:rPr>
          <w:rFonts w:ascii="Arial" w:hAnsi="Arial" w:cs="Arial"/>
        </w:rPr>
        <w:t>on</w:t>
      </w:r>
      <w:proofErr w:type="gramEnd"/>
      <w:r>
        <w:rPr>
          <w:rFonts w:ascii="Arial" w:hAnsi="Arial" w:cs="Arial"/>
        </w:rPr>
        <w:t xml:space="preserve"> application and in exceptional circumstances, to waive or reduce the service charge by an amount considered reasonable. </w:t>
      </w:r>
    </w:p>
    <w:p w:rsidR="00C86C3B" w:rsidRDefault="00C86C3B" w:rsidP="00C86C3B">
      <w:pPr>
        <w:pStyle w:val="Default"/>
        <w:ind w:left="1440"/>
        <w:rPr>
          <w:rFonts w:ascii="Arial" w:hAnsi="Arial" w:cs="Arial"/>
        </w:rPr>
      </w:pPr>
    </w:p>
    <w:p w:rsidR="002C490F" w:rsidRDefault="00E145E2" w:rsidP="00B97552">
      <w:pPr>
        <w:pStyle w:val="ListParagraph"/>
        <w:numPr>
          <w:ilvl w:val="0"/>
          <w:numId w:val="18"/>
        </w:numPr>
        <w:spacing w:after="200" w:line="276" w:lineRule="auto"/>
        <w:contextualSpacing/>
        <w:rPr>
          <w:rFonts w:cs="Arial"/>
        </w:rPr>
      </w:pPr>
      <w:r>
        <w:rPr>
          <w:rFonts w:cs="Arial"/>
          <w:i/>
        </w:rPr>
        <w:t>“</w:t>
      </w:r>
      <w:r w:rsidR="00C86C3B" w:rsidRPr="00E145E2">
        <w:rPr>
          <w:rFonts w:cs="Arial"/>
          <w:i/>
        </w:rPr>
        <w:t>The Social Landlords Discretionary Reduction of Service Charges (England) Directions 2014</w:t>
      </w:r>
      <w:r>
        <w:rPr>
          <w:rFonts w:cs="Arial"/>
          <w:i/>
        </w:rPr>
        <w:t>”</w:t>
      </w:r>
      <w:r w:rsidR="00C86C3B">
        <w:rPr>
          <w:rFonts w:cs="Arial"/>
        </w:rPr>
        <w:t xml:space="preserve">, was issued by the </w:t>
      </w:r>
      <w:r>
        <w:rPr>
          <w:rFonts w:cs="Arial"/>
        </w:rPr>
        <w:t>Secretary for State for Communities and Local Government</w:t>
      </w:r>
      <w:r w:rsidR="00C86C3B">
        <w:rPr>
          <w:rFonts w:cs="Arial"/>
        </w:rPr>
        <w:t xml:space="preserve"> on 11</w:t>
      </w:r>
      <w:r w:rsidR="00C86C3B" w:rsidRPr="00C86C3B">
        <w:rPr>
          <w:rFonts w:cs="Arial"/>
          <w:vertAlign w:val="superscript"/>
        </w:rPr>
        <w:t>th</w:t>
      </w:r>
      <w:r w:rsidR="00C86C3B">
        <w:rPr>
          <w:rFonts w:cs="Arial"/>
        </w:rPr>
        <w:t xml:space="preserve"> August 2014, to be effective 12</w:t>
      </w:r>
      <w:r w:rsidR="00C86C3B" w:rsidRPr="00C86C3B">
        <w:rPr>
          <w:rFonts w:cs="Arial"/>
          <w:vertAlign w:val="superscript"/>
        </w:rPr>
        <w:t>th</w:t>
      </w:r>
      <w:r w:rsidR="00C86C3B">
        <w:rPr>
          <w:rFonts w:cs="Arial"/>
        </w:rPr>
        <w:t xml:space="preserve"> August 2014. The Directions</w:t>
      </w:r>
      <w:r>
        <w:rPr>
          <w:rFonts w:cs="Arial"/>
        </w:rPr>
        <w:t>,</w:t>
      </w:r>
      <w:r w:rsidR="00C86C3B">
        <w:rPr>
          <w:rFonts w:cs="Arial"/>
        </w:rPr>
        <w:t xml:space="preserve"> </w:t>
      </w:r>
      <w:r>
        <w:rPr>
          <w:rFonts w:cs="Arial"/>
        </w:rPr>
        <w:t xml:space="preserve">on application by a leaseholder, give </w:t>
      </w:r>
      <w:r w:rsidRPr="00E145E2">
        <w:rPr>
          <w:rFonts w:cs="Arial"/>
        </w:rPr>
        <w:t>social landlord</w:t>
      </w:r>
      <w:r>
        <w:rPr>
          <w:rFonts w:cs="Arial"/>
        </w:rPr>
        <w:t xml:space="preserve">s the power to </w:t>
      </w:r>
      <w:r w:rsidRPr="00E145E2">
        <w:rPr>
          <w:rFonts w:cs="Arial"/>
        </w:rPr>
        <w:t xml:space="preserve">waive or reduce </w:t>
      </w:r>
      <w:r>
        <w:rPr>
          <w:rFonts w:cs="Arial"/>
        </w:rPr>
        <w:t xml:space="preserve">a </w:t>
      </w:r>
      <w:r w:rsidRPr="00E145E2">
        <w:rPr>
          <w:rFonts w:cs="Arial"/>
        </w:rPr>
        <w:t>service charge</w:t>
      </w:r>
      <w:r>
        <w:rPr>
          <w:rFonts w:cs="Arial"/>
        </w:rPr>
        <w:t xml:space="preserve"> for repair, maintenance or improvement</w:t>
      </w:r>
      <w:r w:rsidRPr="00E145E2">
        <w:rPr>
          <w:rFonts w:cs="Arial"/>
        </w:rPr>
        <w:t xml:space="preserve"> by an amount the landlord considers </w:t>
      </w:r>
      <w:proofErr w:type="gramStart"/>
      <w:r w:rsidRPr="00E145E2">
        <w:rPr>
          <w:rFonts w:cs="Arial"/>
        </w:rPr>
        <w:t>to be</w:t>
      </w:r>
      <w:proofErr w:type="gramEnd"/>
      <w:r w:rsidRPr="00E145E2">
        <w:rPr>
          <w:rFonts w:cs="Arial"/>
        </w:rPr>
        <w:t xml:space="preserve"> reasonable.</w:t>
      </w:r>
    </w:p>
    <w:p w:rsidR="00E145E2" w:rsidRDefault="00E145E2" w:rsidP="00E145E2">
      <w:pPr>
        <w:pStyle w:val="ListParagraph"/>
        <w:spacing w:after="200" w:line="276" w:lineRule="auto"/>
        <w:ind w:left="360"/>
        <w:contextualSpacing/>
        <w:rPr>
          <w:rFonts w:cs="Arial"/>
        </w:rPr>
      </w:pPr>
    </w:p>
    <w:p w:rsidR="00E145E2" w:rsidRDefault="00E145E2" w:rsidP="00B97552">
      <w:pPr>
        <w:pStyle w:val="ListParagraph"/>
        <w:numPr>
          <w:ilvl w:val="0"/>
          <w:numId w:val="18"/>
        </w:numPr>
        <w:spacing w:after="200" w:line="276" w:lineRule="auto"/>
        <w:contextualSpacing/>
        <w:rPr>
          <w:rFonts w:cs="Arial"/>
        </w:rPr>
      </w:pPr>
      <w:r>
        <w:rPr>
          <w:rFonts w:cs="Arial"/>
        </w:rPr>
        <w:t>The Directions also set out criteria which should be considered by the social landlord and factors to consider relating to exceptional hardship.</w:t>
      </w:r>
    </w:p>
    <w:p w:rsidR="00883093" w:rsidRPr="00681438" w:rsidRDefault="00883093" w:rsidP="00395BFF">
      <w:pPr>
        <w:widowControl w:val="0"/>
        <w:suppressAutoHyphens/>
        <w:autoSpaceDE w:val="0"/>
        <w:ind w:left="426"/>
        <w:rPr>
          <w:rFonts w:eastAsia="Calibri" w:cs="Arial"/>
          <w:color w:val="000000"/>
        </w:rPr>
      </w:pPr>
    </w:p>
    <w:p w:rsidR="00935929" w:rsidRDefault="00AF3CD7" w:rsidP="0085627B">
      <w:pPr>
        <w:rPr>
          <w:rFonts w:cs="Arial"/>
          <w:b/>
        </w:rPr>
      </w:pPr>
      <w:r w:rsidRPr="00681438">
        <w:rPr>
          <w:rFonts w:cs="Arial"/>
          <w:b/>
        </w:rPr>
        <w:t xml:space="preserve">Financial Assistance </w:t>
      </w:r>
      <w:r w:rsidR="009A07B4">
        <w:rPr>
          <w:rFonts w:cs="Arial"/>
          <w:b/>
        </w:rPr>
        <w:t>Framework</w:t>
      </w:r>
    </w:p>
    <w:p w:rsidR="00ED2339" w:rsidRPr="00681438" w:rsidRDefault="00ED2339" w:rsidP="00ED2339">
      <w:pPr>
        <w:ind w:left="851" w:hanging="851"/>
        <w:rPr>
          <w:rFonts w:cs="Arial"/>
          <w:b/>
        </w:rPr>
      </w:pPr>
    </w:p>
    <w:p w:rsidR="00ED2339" w:rsidRPr="00ED2339" w:rsidRDefault="004B504E"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Research undertaken by officers indicates that </w:t>
      </w:r>
      <w:r w:rsidR="001279C5" w:rsidRPr="00ED2339">
        <w:rPr>
          <w:rFonts w:eastAsiaTheme="minorHAnsi" w:cstheme="minorHAnsi"/>
        </w:rPr>
        <w:t xml:space="preserve">there are a number of different </w:t>
      </w:r>
      <w:r w:rsidR="007F51A8" w:rsidRPr="00ED2339">
        <w:rPr>
          <w:rFonts w:eastAsiaTheme="minorHAnsi" w:cstheme="minorHAnsi"/>
        </w:rPr>
        <w:t xml:space="preserve">best practice </w:t>
      </w:r>
      <w:r w:rsidR="001279C5" w:rsidRPr="00ED2339">
        <w:rPr>
          <w:rFonts w:eastAsiaTheme="minorHAnsi" w:cstheme="minorHAnsi"/>
        </w:rPr>
        <w:t xml:space="preserve">options that could be considered </w:t>
      </w:r>
      <w:r w:rsidR="00295B5A" w:rsidRPr="00ED2339">
        <w:rPr>
          <w:rFonts w:eastAsiaTheme="minorHAnsi" w:cstheme="minorHAnsi"/>
        </w:rPr>
        <w:t>in providing</w:t>
      </w:r>
      <w:r w:rsidR="001279C5" w:rsidRPr="00ED2339">
        <w:rPr>
          <w:rFonts w:eastAsiaTheme="minorHAnsi" w:cstheme="minorHAnsi"/>
        </w:rPr>
        <w:t xml:space="preserve"> financial </w:t>
      </w:r>
      <w:r w:rsidRPr="00ED2339">
        <w:rPr>
          <w:rFonts w:eastAsiaTheme="minorHAnsi" w:cstheme="minorHAnsi"/>
        </w:rPr>
        <w:t>assistance</w:t>
      </w:r>
      <w:r w:rsidR="001279C5" w:rsidRPr="00ED2339">
        <w:rPr>
          <w:rFonts w:eastAsiaTheme="minorHAnsi" w:cstheme="minorHAnsi"/>
        </w:rPr>
        <w:t xml:space="preserve"> to leas</w:t>
      </w:r>
      <w:r w:rsidRPr="00ED2339">
        <w:rPr>
          <w:rFonts w:eastAsiaTheme="minorHAnsi" w:cstheme="minorHAnsi"/>
        </w:rPr>
        <w:t>e</w:t>
      </w:r>
      <w:r w:rsidR="001279C5" w:rsidRPr="00ED2339">
        <w:rPr>
          <w:rFonts w:eastAsiaTheme="minorHAnsi" w:cstheme="minorHAnsi"/>
        </w:rPr>
        <w:t>holders</w:t>
      </w:r>
      <w:r w:rsidRPr="00ED2339">
        <w:rPr>
          <w:rFonts w:eastAsiaTheme="minorHAnsi" w:cstheme="minorHAnsi"/>
        </w:rPr>
        <w:t xml:space="preserve"> facing large bills</w:t>
      </w:r>
      <w:r w:rsidR="00ED2339" w:rsidRPr="00ED2339">
        <w:rPr>
          <w:rFonts w:eastAsiaTheme="minorHAnsi" w:cstheme="minorHAnsi"/>
        </w:rPr>
        <w:t xml:space="preserve">, in addition to the </w:t>
      </w:r>
      <w:r w:rsidR="0085746F" w:rsidRPr="00ED2339">
        <w:rPr>
          <w:rFonts w:eastAsiaTheme="minorHAnsi" w:cstheme="minorHAnsi"/>
        </w:rPr>
        <w:t>statutory</w:t>
      </w:r>
      <w:r w:rsidR="00ED2339" w:rsidRPr="00ED2339">
        <w:rPr>
          <w:rFonts w:eastAsiaTheme="minorHAnsi" w:cstheme="minorHAnsi"/>
        </w:rPr>
        <w:t xml:space="preserve"> </w:t>
      </w:r>
      <w:r w:rsidR="007F51A8" w:rsidRPr="00ED2339">
        <w:rPr>
          <w:rFonts w:eastAsiaTheme="minorHAnsi" w:cstheme="minorHAnsi"/>
        </w:rPr>
        <w:t>provisions</w:t>
      </w:r>
      <w:r w:rsidR="00E92C14">
        <w:rPr>
          <w:rFonts w:eastAsiaTheme="minorHAnsi" w:cstheme="minorHAnsi"/>
        </w:rPr>
        <w:t xml:space="preserve"> available</w:t>
      </w:r>
      <w:r w:rsidRPr="00ED2339">
        <w:rPr>
          <w:rFonts w:eastAsiaTheme="minorHAnsi" w:cstheme="minorHAnsi"/>
        </w:rPr>
        <w:t xml:space="preserve">. </w:t>
      </w:r>
    </w:p>
    <w:p w:rsidR="00ED2339" w:rsidRPr="00ED2339" w:rsidRDefault="00ED2339" w:rsidP="00ED2339">
      <w:pPr>
        <w:pStyle w:val="ListParagraph"/>
        <w:spacing w:after="200" w:line="276" w:lineRule="auto"/>
        <w:ind w:left="709"/>
        <w:contextualSpacing/>
        <w:rPr>
          <w:rFonts w:eastAsiaTheme="minorHAnsi" w:cstheme="minorHAnsi"/>
        </w:rPr>
      </w:pPr>
    </w:p>
    <w:p w:rsidR="007F51A8" w:rsidRDefault="002F704F" w:rsidP="00B97552">
      <w:pPr>
        <w:pStyle w:val="ListParagraph"/>
        <w:numPr>
          <w:ilvl w:val="0"/>
          <w:numId w:val="18"/>
        </w:numPr>
        <w:spacing w:after="200" w:line="276" w:lineRule="auto"/>
        <w:contextualSpacing/>
        <w:rPr>
          <w:rFonts w:cs="Arial"/>
        </w:rPr>
      </w:pPr>
      <w:r>
        <w:rPr>
          <w:rFonts w:eastAsiaTheme="minorHAnsi" w:cstheme="minorHAnsi"/>
        </w:rPr>
        <w:t xml:space="preserve">These are set out in Appendix 2 - </w:t>
      </w:r>
      <w:r w:rsidR="00ED2339" w:rsidRPr="00ED2339">
        <w:rPr>
          <w:rFonts w:eastAsiaTheme="minorHAnsi" w:cstheme="minorHAnsi"/>
        </w:rPr>
        <w:t>The Finan</w:t>
      </w:r>
      <w:r>
        <w:rPr>
          <w:rFonts w:eastAsiaTheme="minorHAnsi" w:cstheme="minorHAnsi"/>
        </w:rPr>
        <w:t>cial Assistance Framework</w:t>
      </w:r>
      <w:r w:rsidR="007F51A8" w:rsidRPr="00ED2339">
        <w:rPr>
          <w:rFonts w:eastAsiaTheme="minorHAnsi" w:cstheme="minorHAnsi"/>
        </w:rPr>
        <w:t>.</w:t>
      </w:r>
      <w:r w:rsidR="007F51A8">
        <w:rPr>
          <w:rFonts w:cs="Arial"/>
        </w:rPr>
        <w:t xml:space="preserve"> </w:t>
      </w:r>
    </w:p>
    <w:p w:rsidR="00CE6E01" w:rsidRDefault="00CE6E01" w:rsidP="00ED2339">
      <w:pPr>
        <w:autoSpaceDE w:val="0"/>
        <w:autoSpaceDN w:val="0"/>
        <w:adjustRightInd w:val="0"/>
        <w:rPr>
          <w:rFonts w:eastAsia="Calibri" w:cs="Arial"/>
          <w:b/>
          <w:bCs/>
        </w:rPr>
      </w:pPr>
      <w:r>
        <w:rPr>
          <w:rFonts w:eastAsia="Calibri" w:cs="Arial"/>
          <w:b/>
          <w:bCs/>
        </w:rPr>
        <w:t>Eligibility Criteria</w:t>
      </w:r>
    </w:p>
    <w:p w:rsidR="00CE6E01" w:rsidRPr="000F27ED" w:rsidRDefault="00CE6E01" w:rsidP="000F27ED">
      <w:pPr>
        <w:pStyle w:val="ListParagraph"/>
        <w:spacing w:after="200" w:line="276" w:lineRule="auto"/>
        <w:ind w:left="709"/>
        <w:contextualSpacing/>
        <w:rPr>
          <w:rFonts w:eastAsiaTheme="minorHAnsi" w:cstheme="minorHAnsi"/>
        </w:rPr>
      </w:pPr>
    </w:p>
    <w:p w:rsidR="00CE6E01" w:rsidRPr="000F27ED" w:rsidRDefault="0085627B" w:rsidP="00B97552">
      <w:pPr>
        <w:pStyle w:val="ListParagraph"/>
        <w:numPr>
          <w:ilvl w:val="0"/>
          <w:numId w:val="18"/>
        </w:numPr>
        <w:spacing w:after="200" w:line="276" w:lineRule="auto"/>
        <w:contextualSpacing/>
        <w:rPr>
          <w:rFonts w:eastAsiaTheme="minorHAnsi" w:cstheme="minorHAnsi"/>
        </w:rPr>
      </w:pPr>
      <w:r w:rsidRPr="000F27ED">
        <w:rPr>
          <w:rFonts w:eastAsiaTheme="minorHAnsi" w:cstheme="minorHAnsi"/>
        </w:rPr>
        <w:t>To qualify for assistance under the Financial Assistance Framework, leaseholders would be required to make an application</w:t>
      </w:r>
      <w:r w:rsidR="00260EA6" w:rsidRPr="000F27ED">
        <w:rPr>
          <w:rFonts w:eastAsiaTheme="minorHAnsi" w:cstheme="minorHAnsi"/>
        </w:rPr>
        <w:t xml:space="preserve"> to the Council</w:t>
      </w:r>
      <w:r w:rsidRPr="000F27ED">
        <w:rPr>
          <w:rFonts w:eastAsiaTheme="minorHAnsi" w:cstheme="minorHAnsi"/>
        </w:rPr>
        <w:t>, setting out their current financial circumstances, including details of income</w:t>
      </w:r>
      <w:r w:rsidR="00260EA6" w:rsidRPr="000F27ED">
        <w:rPr>
          <w:rFonts w:eastAsiaTheme="minorHAnsi" w:cstheme="minorHAnsi"/>
        </w:rPr>
        <w:t>, savings</w:t>
      </w:r>
      <w:r w:rsidRPr="000F27ED">
        <w:rPr>
          <w:rFonts w:eastAsiaTheme="minorHAnsi" w:cstheme="minorHAnsi"/>
        </w:rPr>
        <w:t xml:space="preserve"> and assets such as other properties they may also own. </w:t>
      </w:r>
    </w:p>
    <w:p w:rsidR="00260EA6" w:rsidRPr="000F27ED" w:rsidRDefault="00260EA6" w:rsidP="000F27ED">
      <w:pPr>
        <w:pStyle w:val="ListParagraph"/>
        <w:spacing w:after="200" w:line="276" w:lineRule="auto"/>
        <w:ind w:left="709"/>
        <w:contextualSpacing/>
        <w:rPr>
          <w:rFonts w:eastAsiaTheme="minorHAnsi" w:cstheme="minorHAnsi"/>
        </w:rPr>
      </w:pPr>
    </w:p>
    <w:p w:rsidR="00260EA6" w:rsidRDefault="00260EA6" w:rsidP="00B97552">
      <w:pPr>
        <w:pStyle w:val="ListParagraph"/>
        <w:numPr>
          <w:ilvl w:val="0"/>
          <w:numId w:val="18"/>
        </w:numPr>
        <w:spacing w:after="200" w:line="276" w:lineRule="auto"/>
        <w:contextualSpacing/>
        <w:rPr>
          <w:rFonts w:eastAsiaTheme="minorHAnsi" w:cstheme="minorHAnsi"/>
        </w:rPr>
      </w:pPr>
      <w:r w:rsidRPr="000F27ED">
        <w:rPr>
          <w:rFonts w:eastAsiaTheme="minorHAnsi" w:cstheme="minorHAnsi"/>
        </w:rPr>
        <w:lastRenderedPageBreak/>
        <w:t xml:space="preserve">If they qualify for assistance, leaseholders would be expected to use </w:t>
      </w:r>
      <w:r w:rsidR="009812A7">
        <w:rPr>
          <w:rFonts w:eastAsiaTheme="minorHAnsi" w:cstheme="minorHAnsi"/>
        </w:rPr>
        <w:t xml:space="preserve">a </w:t>
      </w:r>
      <w:r w:rsidR="00B3696C">
        <w:rPr>
          <w:rFonts w:eastAsiaTheme="minorHAnsi" w:cstheme="minorHAnsi"/>
        </w:rPr>
        <w:t xml:space="preserve">reasonable </w:t>
      </w:r>
      <w:r w:rsidR="009812A7">
        <w:rPr>
          <w:rFonts w:eastAsiaTheme="minorHAnsi" w:cstheme="minorHAnsi"/>
        </w:rPr>
        <w:t xml:space="preserve">proportion of their available </w:t>
      </w:r>
      <w:r w:rsidRPr="000F27ED">
        <w:rPr>
          <w:rFonts w:eastAsiaTheme="minorHAnsi" w:cstheme="minorHAnsi"/>
        </w:rPr>
        <w:t>cash</w:t>
      </w:r>
      <w:r w:rsidR="00051154">
        <w:rPr>
          <w:rFonts w:eastAsiaTheme="minorHAnsi" w:cstheme="minorHAnsi"/>
        </w:rPr>
        <w:t xml:space="preserve"> (savings)</w:t>
      </w:r>
      <w:r w:rsidRPr="000F27ED">
        <w:rPr>
          <w:rFonts w:eastAsiaTheme="minorHAnsi" w:cstheme="minorHAnsi"/>
        </w:rPr>
        <w:t xml:space="preserve"> or realisable assets to reduce their liability as part of the loan agreement.</w:t>
      </w:r>
      <w:r w:rsidR="009812A7">
        <w:rPr>
          <w:rFonts w:eastAsiaTheme="minorHAnsi" w:cstheme="minorHAnsi"/>
        </w:rPr>
        <w:t xml:space="preserve">  </w:t>
      </w:r>
    </w:p>
    <w:p w:rsidR="009812A7" w:rsidRPr="009812A7" w:rsidRDefault="009812A7" w:rsidP="009812A7">
      <w:pPr>
        <w:pStyle w:val="ListParagraph"/>
        <w:rPr>
          <w:rFonts w:eastAsiaTheme="minorHAnsi" w:cstheme="minorHAnsi"/>
        </w:rPr>
      </w:pPr>
    </w:p>
    <w:p w:rsidR="008E2C5E" w:rsidRDefault="008E2C5E" w:rsidP="00B97552">
      <w:pPr>
        <w:pStyle w:val="ListParagraph"/>
        <w:numPr>
          <w:ilvl w:val="0"/>
          <w:numId w:val="18"/>
        </w:numPr>
        <w:spacing w:after="200" w:line="276" w:lineRule="auto"/>
        <w:contextualSpacing/>
        <w:rPr>
          <w:rFonts w:eastAsiaTheme="minorHAnsi" w:cstheme="minorHAnsi"/>
        </w:rPr>
      </w:pPr>
      <w:r>
        <w:rPr>
          <w:rFonts w:eastAsiaTheme="minorHAnsi" w:cstheme="minorHAnsi"/>
        </w:rPr>
        <w:t xml:space="preserve">How much a leaseholder will be expected to pay towards a loan each month </w:t>
      </w:r>
      <w:r w:rsidR="009812A7">
        <w:rPr>
          <w:rFonts w:eastAsiaTheme="minorHAnsi" w:cstheme="minorHAnsi"/>
        </w:rPr>
        <w:t xml:space="preserve">will be based on </w:t>
      </w:r>
      <w:r>
        <w:rPr>
          <w:rFonts w:eastAsiaTheme="minorHAnsi" w:cstheme="minorHAnsi"/>
        </w:rPr>
        <w:t xml:space="preserve">their </w:t>
      </w:r>
      <w:r w:rsidR="00027B25">
        <w:rPr>
          <w:rFonts w:eastAsiaTheme="minorHAnsi" w:cstheme="minorHAnsi"/>
        </w:rPr>
        <w:t xml:space="preserve">applicable </w:t>
      </w:r>
      <w:r w:rsidR="009812A7">
        <w:rPr>
          <w:rFonts w:eastAsiaTheme="minorHAnsi" w:cstheme="minorHAnsi"/>
        </w:rPr>
        <w:t>disposable income</w:t>
      </w:r>
      <w:r>
        <w:rPr>
          <w:rFonts w:eastAsiaTheme="minorHAnsi" w:cstheme="minorHAnsi"/>
        </w:rPr>
        <w:t xml:space="preserve">, so that a leaseholder can retain some disposable income while making </w:t>
      </w:r>
      <w:r w:rsidR="00ED3C39">
        <w:rPr>
          <w:rFonts w:eastAsiaTheme="minorHAnsi" w:cstheme="minorHAnsi"/>
        </w:rPr>
        <w:t xml:space="preserve">affordable </w:t>
      </w:r>
      <w:r>
        <w:rPr>
          <w:rFonts w:eastAsiaTheme="minorHAnsi" w:cstheme="minorHAnsi"/>
        </w:rPr>
        <w:t xml:space="preserve">loan </w:t>
      </w:r>
      <w:proofErr w:type="gramStart"/>
      <w:r>
        <w:rPr>
          <w:rFonts w:eastAsiaTheme="minorHAnsi" w:cstheme="minorHAnsi"/>
        </w:rPr>
        <w:t>repayments</w:t>
      </w:r>
      <w:r w:rsidR="009812A7">
        <w:rPr>
          <w:rFonts w:eastAsiaTheme="minorHAnsi" w:cstheme="minorHAnsi"/>
        </w:rPr>
        <w:t>.</w:t>
      </w:r>
      <w:proofErr w:type="gramEnd"/>
      <w:r w:rsidR="009812A7">
        <w:rPr>
          <w:rFonts w:eastAsiaTheme="minorHAnsi" w:cstheme="minorHAnsi"/>
        </w:rPr>
        <w:t xml:space="preserve"> </w:t>
      </w:r>
    </w:p>
    <w:p w:rsidR="008E2C5E" w:rsidRPr="008E2C5E" w:rsidRDefault="008E2C5E" w:rsidP="008E2C5E">
      <w:pPr>
        <w:pStyle w:val="ListParagraph"/>
        <w:rPr>
          <w:rFonts w:eastAsiaTheme="minorHAnsi" w:cstheme="minorHAnsi"/>
        </w:rPr>
      </w:pPr>
    </w:p>
    <w:p w:rsidR="00260EA6" w:rsidRPr="000F27ED" w:rsidRDefault="00260EA6" w:rsidP="00B97552">
      <w:pPr>
        <w:pStyle w:val="ListParagraph"/>
        <w:numPr>
          <w:ilvl w:val="0"/>
          <w:numId w:val="18"/>
        </w:numPr>
        <w:spacing w:after="200" w:line="276" w:lineRule="auto"/>
        <w:contextualSpacing/>
        <w:rPr>
          <w:rFonts w:eastAsiaTheme="minorHAnsi" w:cstheme="minorHAnsi"/>
        </w:rPr>
      </w:pPr>
      <w:r w:rsidRPr="000F27ED">
        <w:rPr>
          <w:rFonts w:eastAsiaTheme="minorHAnsi" w:cstheme="minorHAnsi"/>
        </w:rPr>
        <w:t xml:space="preserve">Where a leaseholder </w:t>
      </w:r>
      <w:r w:rsidR="003D501F" w:rsidRPr="000F27ED">
        <w:rPr>
          <w:rFonts w:eastAsiaTheme="minorHAnsi" w:cstheme="minorHAnsi"/>
        </w:rPr>
        <w:t xml:space="preserve">has insufficient funds or realisable assets to settle the invoice within 14 days of invoice but </w:t>
      </w:r>
      <w:r w:rsidRPr="000F27ED">
        <w:rPr>
          <w:rFonts w:eastAsiaTheme="minorHAnsi" w:cstheme="minorHAnsi"/>
        </w:rPr>
        <w:t xml:space="preserve">has </w:t>
      </w:r>
      <w:r w:rsidR="003D501F" w:rsidRPr="000F27ED">
        <w:rPr>
          <w:rFonts w:eastAsiaTheme="minorHAnsi" w:cstheme="minorHAnsi"/>
        </w:rPr>
        <w:t xml:space="preserve">equity </w:t>
      </w:r>
      <w:r w:rsidRPr="000F27ED">
        <w:rPr>
          <w:rFonts w:eastAsiaTheme="minorHAnsi" w:cstheme="minorHAnsi"/>
        </w:rPr>
        <w:t xml:space="preserve">in property </w:t>
      </w:r>
      <w:r w:rsidR="003D501F" w:rsidRPr="000F27ED">
        <w:rPr>
          <w:rFonts w:eastAsiaTheme="minorHAnsi" w:cstheme="minorHAnsi"/>
        </w:rPr>
        <w:t xml:space="preserve">or properties </w:t>
      </w:r>
      <w:r w:rsidRPr="000F27ED">
        <w:rPr>
          <w:rFonts w:eastAsiaTheme="minorHAnsi" w:cstheme="minorHAnsi"/>
        </w:rPr>
        <w:t xml:space="preserve">(excluding the property leased), the leaseholder would be expected to </w:t>
      </w:r>
      <w:r w:rsidR="003D501F" w:rsidRPr="000F27ED">
        <w:rPr>
          <w:rFonts w:eastAsiaTheme="minorHAnsi" w:cstheme="minorHAnsi"/>
        </w:rPr>
        <w:t>make arrangements to release the equity and reduce the outstanding invoice amount</w:t>
      </w:r>
      <w:r w:rsidRPr="000F27ED">
        <w:rPr>
          <w:rFonts w:eastAsiaTheme="minorHAnsi" w:cstheme="minorHAnsi"/>
        </w:rPr>
        <w:t xml:space="preserve">.   </w:t>
      </w:r>
    </w:p>
    <w:p w:rsidR="003D501F" w:rsidRPr="000F27ED" w:rsidRDefault="003D501F" w:rsidP="000F27ED">
      <w:pPr>
        <w:pStyle w:val="ListParagraph"/>
        <w:spacing w:after="200" w:line="276" w:lineRule="auto"/>
        <w:ind w:left="709"/>
        <w:contextualSpacing/>
        <w:rPr>
          <w:rFonts w:eastAsiaTheme="minorHAnsi" w:cstheme="minorHAnsi"/>
        </w:rPr>
      </w:pPr>
    </w:p>
    <w:p w:rsidR="003D501F" w:rsidRPr="000F27ED" w:rsidRDefault="003D501F" w:rsidP="00B97552">
      <w:pPr>
        <w:pStyle w:val="ListParagraph"/>
        <w:numPr>
          <w:ilvl w:val="0"/>
          <w:numId w:val="18"/>
        </w:numPr>
        <w:spacing w:after="200" w:line="276" w:lineRule="auto"/>
        <w:contextualSpacing/>
        <w:rPr>
          <w:rFonts w:eastAsiaTheme="minorHAnsi" w:cstheme="minorHAnsi"/>
        </w:rPr>
      </w:pPr>
      <w:r w:rsidRPr="000F27ED">
        <w:rPr>
          <w:rFonts w:eastAsiaTheme="minorHAnsi" w:cstheme="minorHAnsi"/>
        </w:rPr>
        <w:t>Each case will be cons</w:t>
      </w:r>
      <w:r w:rsidR="003B47D7" w:rsidRPr="000F27ED">
        <w:rPr>
          <w:rFonts w:eastAsiaTheme="minorHAnsi" w:cstheme="minorHAnsi"/>
        </w:rPr>
        <w:t xml:space="preserve">idered on its own merits based on the assessment. </w:t>
      </w:r>
      <w:r w:rsidR="00B13674">
        <w:rPr>
          <w:rFonts w:eastAsiaTheme="minorHAnsi" w:cstheme="minorHAnsi"/>
        </w:rPr>
        <w:t xml:space="preserve">Qualification for loan options will depend on affordability across the period of the loan. Loans are to be available on the basis of the shortest repayment time possible. </w:t>
      </w:r>
      <w:r w:rsidRPr="000F27ED">
        <w:rPr>
          <w:rFonts w:eastAsiaTheme="minorHAnsi" w:cstheme="minorHAnsi"/>
        </w:rPr>
        <w:t xml:space="preserve">Examples of </w:t>
      </w:r>
      <w:r w:rsidR="003B47D7" w:rsidRPr="000F27ED">
        <w:rPr>
          <w:rFonts w:eastAsiaTheme="minorHAnsi" w:cstheme="minorHAnsi"/>
        </w:rPr>
        <w:t>scenarios are shown in Appendix 3 – Eligibility Scenarios</w:t>
      </w:r>
    </w:p>
    <w:p w:rsidR="00CE6E01" w:rsidRPr="000F27ED" w:rsidRDefault="00CE6E01" w:rsidP="000F27ED">
      <w:pPr>
        <w:pStyle w:val="ListParagraph"/>
        <w:spacing w:after="200" w:line="276" w:lineRule="auto"/>
        <w:ind w:left="709"/>
        <w:contextualSpacing/>
        <w:rPr>
          <w:rFonts w:eastAsiaTheme="minorHAnsi" w:cstheme="minorHAnsi"/>
        </w:rPr>
      </w:pPr>
    </w:p>
    <w:p w:rsidR="00B47C06" w:rsidRDefault="009D60C5" w:rsidP="00ED2339">
      <w:pPr>
        <w:autoSpaceDE w:val="0"/>
        <w:autoSpaceDN w:val="0"/>
        <w:adjustRightInd w:val="0"/>
        <w:rPr>
          <w:rFonts w:eastAsia="Calibri" w:cs="Arial"/>
          <w:b/>
          <w:bCs/>
        </w:rPr>
      </w:pPr>
      <w:r w:rsidRPr="00681438">
        <w:rPr>
          <w:rFonts w:eastAsia="Calibri" w:cs="Arial"/>
          <w:b/>
          <w:bCs/>
        </w:rPr>
        <w:t>Climate change/Environmental Impact</w:t>
      </w:r>
    </w:p>
    <w:p w:rsidR="00ED2339" w:rsidRPr="00681438" w:rsidRDefault="00ED2339" w:rsidP="00A16D34">
      <w:pPr>
        <w:autoSpaceDE w:val="0"/>
        <w:autoSpaceDN w:val="0"/>
        <w:adjustRightInd w:val="0"/>
        <w:ind w:left="567"/>
        <w:rPr>
          <w:rFonts w:eastAsia="Calibri" w:cs="Arial"/>
          <w:b/>
          <w:bCs/>
        </w:rPr>
      </w:pPr>
    </w:p>
    <w:p w:rsidR="00AA73A6" w:rsidRPr="00ED2339" w:rsidRDefault="009D60C5"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It is considered that there will not be any </w:t>
      </w:r>
      <w:r w:rsidR="006B3520" w:rsidRPr="00ED2339">
        <w:rPr>
          <w:rFonts w:eastAsiaTheme="minorHAnsi" w:cstheme="minorHAnsi"/>
        </w:rPr>
        <w:t xml:space="preserve">direct </w:t>
      </w:r>
      <w:r w:rsidRPr="00ED2339">
        <w:rPr>
          <w:rFonts w:eastAsiaTheme="minorHAnsi" w:cstheme="minorHAnsi"/>
        </w:rPr>
        <w:t>climate change/environmental impact as a result of these proposals</w:t>
      </w:r>
    </w:p>
    <w:p w:rsidR="000F27ED" w:rsidRDefault="000F27ED" w:rsidP="002F704F">
      <w:pPr>
        <w:autoSpaceDE w:val="0"/>
        <w:autoSpaceDN w:val="0"/>
        <w:adjustRightInd w:val="0"/>
        <w:ind w:left="567" w:hanging="567"/>
        <w:rPr>
          <w:rFonts w:cs="Arial"/>
          <w:b/>
        </w:rPr>
      </w:pPr>
    </w:p>
    <w:p w:rsidR="009D60C5" w:rsidRDefault="009D60C5" w:rsidP="002F704F">
      <w:pPr>
        <w:autoSpaceDE w:val="0"/>
        <w:autoSpaceDN w:val="0"/>
        <w:adjustRightInd w:val="0"/>
        <w:ind w:left="567" w:hanging="567"/>
        <w:rPr>
          <w:rFonts w:cs="Arial"/>
          <w:b/>
        </w:rPr>
      </w:pPr>
      <w:r w:rsidRPr="00681438">
        <w:rPr>
          <w:rFonts w:cs="Arial"/>
          <w:b/>
        </w:rPr>
        <w:t>Equalities Impact</w:t>
      </w:r>
    </w:p>
    <w:p w:rsidR="00ED2339" w:rsidRPr="00681438" w:rsidRDefault="00ED2339" w:rsidP="00A16D34">
      <w:pPr>
        <w:autoSpaceDE w:val="0"/>
        <w:autoSpaceDN w:val="0"/>
        <w:adjustRightInd w:val="0"/>
        <w:ind w:left="567"/>
        <w:rPr>
          <w:rFonts w:cs="Arial"/>
          <w:b/>
        </w:rPr>
      </w:pPr>
    </w:p>
    <w:p w:rsidR="009D60C5" w:rsidRPr="00ED2339" w:rsidRDefault="00AA1DCF"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The</w:t>
      </w:r>
      <w:r w:rsidR="00F15F64" w:rsidRPr="00ED2339">
        <w:rPr>
          <w:rFonts w:eastAsiaTheme="minorHAnsi" w:cstheme="minorHAnsi"/>
        </w:rPr>
        <w:t xml:space="preserve">re is no negative impact on equalities resulting from this report.  The Initial Equality Impact Assessment is attached as Appendix </w:t>
      </w:r>
      <w:r w:rsidR="003B47D7">
        <w:rPr>
          <w:rFonts w:eastAsiaTheme="minorHAnsi" w:cstheme="minorHAnsi"/>
        </w:rPr>
        <w:t>4</w:t>
      </w:r>
      <w:r w:rsidRPr="00ED2339">
        <w:rPr>
          <w:rFonts w:eastAsiaTheme="minorHAnsi" w:cstheme="minorHAnsi"/>
        </w:rPr>
        <w:t>.</w:t>
      </w:r>
    </w:p>
    <w:p w:rsidR="00AA1DCF" w:rsidRDefault="00AA1DCF" w:rsidP="002F704F">
      <w:pPr>
        <w:autoSpaceDE w:val="0"/>
        <w:autoSpaceDN w:val="0"/>
        <w:adjustRightInd w:val="0"/>
        <w:ind w:left="567" w:hanging="567"/>
        <w:rPr>
          <w:rFonts w:cs="Arial"/>
          <w:b/>
        </w:rPr>
      </w:pPr>
      <w:r w:rsidRPr="00681438">
        <w:rPr>
          <w:rFonts w:cs="Arial"/>
          <w:b/>
        </w:rPr>
        <w:t>Financial Implications</w:t>
      </w:r>
    </w:p>
    <w:p w:rsidR="00ED2339" w:rsidRPr="00681438" w:rsidRDefault="00ED2339" w:rsidP="00A16D34">
      <w:pPr>
        <w:autoSpaceDE w:val="0"/>
        <w:autoSpaceDN w:val="0"/>
        <w:adjustRightInd w:val="0"/>
        <w:ind w:left="567"/>
        <w:rPr>
          <w:rFonts w:cs="Arial"/>
          <w:b/>
        </w:rPr>
      </w:pPr>
    </w:p>
    <w:p w:rsidR="00AA1DCF" w:rsidRDefault="002C450F"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The</w:t>
      </w:r>
      <w:r w:rsidR="00E17FEB" w:rsidRPr="00ED2339">
        <w:rPr>
          <w:rFonts w:eastAsiaTheme="minorHAnsi" w:cstheme="minorHAnsi"/>
        </w:rPr>
        <w:t xml:space="preserve"> Council </w:t>
      </w:r>
      <w:r w:rsidR="007716EB" w:rsidRPr="00ED2339">
        <w:rPr>
          <w:rFonts w:eastAsiaTheme="minorHAnsi" w:cstheme="minorHAnsi"/>
        </w:rPr>
        <w:t>is</w:t>
      </w:r>
      <w:r w:rsidR="00E17FEB" w:rsidRPr="00ED2339">
        <w:rPr>
          <w:rFonts w:eastAsiaTheme="minorHAnsi" w:cstheme="minorHAnsi"/>
        </w:rPr>
        <w:t xml:space="preserve"> required to fulfil its </w:t>
      </w:r>
      <w:r w:rsidR="00CC6580" w:rsidRPr="00ED2339">
        <w:rPr>
          <w:rFonts w:eastAsiaTheme="minorHAnsi" w:cstheme="minorHAnsi"/>
        </w:rPr>
        <w:t xml:space="preserve">statutory obligations under </w:t>
      </w:r>
      <w:r w:rsidR="00E17FEB" w:rsidRPr="00ED2339">
        <w:rPr>
          <w:rFonts w:eastAsiaTheme="minorHAnsi" w:cstheme="minorHAnsi"/>
        </w:rPr>
        <w:t xml:space="preserve">existing legislation in offering a loan to leaseholders who are required to pay amounts in respect of major works. Any </w:t>
      </w:r>
      <w:r w:rsidR="00CC6580" w:rsidRPr="00ED2339">
        <w:rPr>
          <w:rFonts w:eastAsiaTheme="minorHAnsi" w:cstheme="minorHAnsi"/>
        </w:rPr>
        <w:t xml:space="preserve">interest </w:t>
      </w:r>
      <w:r w:rsidR="00E17FEB" w:rsidRPr="00ED2339">
        <w:rPr>
          <w:rFonts w:eastAsiaTheme="minorHAnsi" w:cstheme="minorHAnsi"/>
        </w:rPr>
        <w:t xml:space="preserve">charged would be credited back to the Housing Revenue Account and the repayment of the works would constitute a capital receipt to be used to fund future Housing capital works, subject to the normal set aside provisions. </w:t>
      </w:r>
    </w:p>
    <w:p w:rsidR="00D35CFC" w:rsidRDefault="00D35CFC" w:rsidP="00D35CFC">
      <w:pPr>
        <w:pStyle w:val="ListParagraph"/>
        <w:spacing w:after="200" w:line="276" w:lineRule="auto"/>
        <w:ind w:left="709"/>
        <w:contextualSpacing/>
        <w:rPr>
          <w:rFonts w:eastAsiaTheme="minorHAnsi" w:cstheme="minorHAnsi"/>
        </w:rPr>
      </w:pPr>
    </w:p>
    <w:p w:rsidR="00D35CFC" w:rsidRPr="00ED2339" w:rsidRDefault="00934430" w:rsidP="00B97552">
      <w:pPr>
        <w:pStyle w:val="ListParagraph"/>
        <w:numPr>
          <w:ilvl w:val="0"/>
          <w:numId w:val="18"/>
        </w:numPr>
        <w:spacing w:after="200" w:line="276" w:lineRule="auto"/>
        <w:contextualSpacing/>
        <w:rPr>
          <w:rFonts w:eastAsiaTheme="minorHAnsi" w:cstheme="minorHAnsi"/>
        </w:rPr>
      </w:pPr>
      <w:r>
        <w:rPr>
          <w:rFonts w:eastAsiaTheme="minorHAnsi" w:cstheme="minorHAnsi"/>
        </w:rPr>
        <w:t>N</w:t>
      </w:r>
      <w:r w:rsidR="00D35CFC">
        <w:rPr>
          <w:rFonts w:eastAsiaTheme="minorHAnsi" w:cstheme="minorHAnsi"/>
        </w:rPr>
        <w:t>egative budgetary implications</w:t>
      </w:r>
      <w:r>
        <w:rPr>
          <w:rFonts w:eastAsiaTheme="minorHAnsi" w:cstheme="minorHAnsi"/>
        </w:rPr>
        <w:t xml:space="preserve"> are not anticipated</w:t>
      </w:r>
      <w:r w:rsidR="00D35CFC">
        <w:rPr>
          <w:rFonts w:eastAsiaTheme="minorHAnsi" w:cstheme="minorHAnsi"/>
        </w:rPr>
        <w:t xml:space="preserve">. Capital works to flat blocks are carried out from existing budgets. The liabilities on leaseholders arise at that point when the leaseholder becomes a debtor. </w:t>
      </w:r>
      <w:r w:rsidR="002B120A">
        <w:rPr>
          <w:rFonts w:eastAsiaTheme="minorHAnsi" w:cstheme="minorHAnsi"/>
        </w:rPr>
        <w:t xml:space="preserve">In the event of a leasehold property being sold (for any reason), all outstanding debts </w:t>
      </w:r>
      <w:r w:rsidR="002B120A">
        <w:rPr>
          <w:rFonts w:eastAsiaTheme="minorHAnsi" w:cstheme="minorHAnsi"/>
        </w:rPr>
        <w:lastRenderedPageBreak/>
        <w:t>relating to service charges and major works charges are settled</w:t>
      </w:r>
      <w:r w:rsidR="00D35CFC">
        <w:rPr>
          <w:rFonts w:eastAsiaTheme="minorHAnsi" w:cstheme="minorHAnsi"/>
        </w:rPr>
        <w:t xml:space="preserve"> </w:t>
      </w:r>
      <w:r w:rsidR="002B120A">
        <w:rPr>
          <w:rFonts w:eastAsiaTheme="minorHAnsi" w:cstheme="minorHAnsi"/>
        </w:rPr>
        <w:t>as part of the sales process.</w:t>
      </w:r>
      <w:r>
        <w:rPr>
          <w:rFonts w:eastAsiaTheme="minorHAnsi" w:cstheme="minorHAnsi"/>
        </w:rPr>
        <w:t xml:space="preserve"> In </w:t>
      </w:r>
      <w:r w:rsidR="006731E1">
        <w:rPr>
          <w:rFonts w:eastAsiaTheme="minorHAnsi" w:cstheme="minorHAnsi"/>
        </w:rPr>
        <w:t>the vast majority of</w:t>
      </w:r>
      <w:r>
        <w:rPr>
          <w:rFonts w:eastAsiaTheme="minorHAnsi" w:cstheme="minorHAnsi"/>
        </w:rPr>
        <w:t xml:space="preserve"> cases this will cover the debt to the Council but there may be</w:t>
      </w:r>
      <w:r w:rsidR="006731E1">
        <w:rPr>
          <w:rFonts w:eastAsiaTheme="minorHAnsi" w:cstheme="minorHAnsi"/>
        </w:rPr>
        <w:t xml:space="preserve"> a small number</w:t>
      </w:r>
      <w:r>
        <w:rPr>
          <w:rFonts w:eastAsiaTheme="minorHAnsi" w:cstheme="minorHAnsi"/>
        </w:rPr>
        <w:t xml:space="preserve"> where there are multiple charges against the property which exceed the sale value.</w:t>
      </w:r>
    </w:p>
    <w:p w:rsidR="000372D1" w:rsidRDefault="000372D1" w:rsidP="00ED2339">
      <w:pPr>
        <w:autoSpaceDE w:val="0"/>
        <w:autoSpaceDN w:val="0"/>
        <w:adjustRightInd w:val="0"/>
        <w:rPr>
          <w:rFonts w:cs="Arial"/>
          <w:b/>
        </w:rPr>
      </w:pPr>
      <w:r w:rsidRPr="00681438">
        <w:rPr>
          <w:rFonts w:cs="Arial"/>
          <w:b/>
        </w:rPr>
        <w:t>Legal Implications</w:t>
      </w:r>
    </w:p>
    <w:p w:rsidR="00ED2339" w:rsidRPr="00681438" w:rsidRDefault="00ED2339" w:rsidP="00ED2339">
      <w:pPr>
        <w:autoSpaceDE w:val="0"/>
        <w:autoSpaceDN w:val="0"/>
        <w:adjustRightInd w:val="0"/>
        <w:rPr>
          <w:rFonts w:cs="Arial"/>
          <w:b/>
        </w:rPr>
      </w:pPr>
    </w:p>
    <w:p w:rsidR="00E92C14" w:rsidRDefault="00D55747" w:rsidP="00B97552">
      <w:pPr>
        <w:pStyle w:val="ListParagraph"/>
        <w:numPr>
          <w:ilvl w:val="0"/>
          <w:numId w:val="18"/>
        </w:numPr>
        <w:spacing w:after="200" w:line="276" w:lineRule="auto"/>
        <w:contextualSpacing/>
        <w:rPr>
          <w:rFonts w:eastAsiaTheme="minorHAnsi" w:cstheme="minorHAnsi"/>
        </w:rPr>
      </w:pPr>
      <w:r w:rsidRPr="00ED2339">
        <w:rPr>
          <w:rFonts w:eastAsiaTheme="minorHAnsi" w:cstheme="minorHAnsi"/>
        </w:rPr>
        <w:t xml:space="preserve">The Council has a fiduciary duty to </w:t>
      </w:r>
      <w:r w:rsidR="002B120A">
        <w:rPr>
          <w:rFonts w:eastAsiaTheme="minorHAnsi" w:cstheme="minorHAnsi"/>
        </w:rPr>
        <w:t xml:space="preserve">the Council’s tenants to ensure that it </w:t>
      </w:r>
      <w:r w:rsidR="00E92C14">
        <w:rPr>
          <w:rFonts w:eastAsiaTheme="minorHAnsi" w:cstheme="minorHAnsi"/>
        </w:rPr>
        <w:t>recover</w:t>
      </w:r>
      <w:r w:rsidR="002B120A">
        <w:rPr>
          <w:rFonts w:eastAsiaTheme="minorHAnsi" w:cstheme="minorHAnsi"/>
        </w:rPr>
        <w:t>s</w:t>
      </w:r>
      <w:r w:rsidR="00E92C14">
        <w:rPr>
          <w:rFonts w:eastAsiaTheme="minorHAnsi" w:cstheme="minorHAnsi"/>
        </w:rPr>
        <w:t xml:space="preserve"> service charges from leaseholders, </w:t>
      </w:r>
      <w:r w:rsidRPr="00ED2339">
        <w:rPr>
          <w:rFonts w:eastAsiaTheme="minorHAnsi" w:cstheme="minorHAnsi"/>
        </w:rPr>
        <w:t>protect</w:t>
      </w:r>
      <w:r w:rsidR="00E92C14">
        <w:rPr>
          <w:rFonts w:eastAsiaTheme="minorHAnsi" w:cstheme="minorHAnsi"/>
        </w:rPr>
        <w:t xml:space="preserve">ing the interests of tenants and the </w:t>
      </w:r>
      <w:r w:rsidRPr="00ED2339">
        <w:rPr>
          <w:rFonts w:eastAsiaTheme="minorHAnsi" w:cstheme="minorHAnsi"/>
        </w:rPr>
        <w:t>Housing Revenue Acc</w:t>
      </w:r>
      <w:r w:rsidR="00E92C14">
        <w:rPr>
          <w:rFonts w:eastAsiaTheme="minorHAnsi" w:cstheme="minorHAnsi"/>
        </w:rPr>
        <w:t>ount</w:t>
      </w:r>
      <w:r w:rsidRPr="00ED2339">
        <w:rPr>
          <w:rFonts w:eastAsiaTheme="minorHAnsi" w:cstheme="minorHAnsi"/>
        </w:rPr>
        <w:t xml:space="preserve">.  </w:t>
      </w:r>
    </w:p>
    <w:p w:rsidR="00246432" w:rsidRPr="00E145E2" w:rsidRDefault="00246432" w:rsidP="00E145E2">
      <w:pPr>
        <w:pStyle w:val="ListParagraph"/>
        <w:rPr>
          <w:rFonts w:eastAsiaTheme="minorHAnsi" w:cstheme="minorHAnsi"/>
        </w:rPr>
      </w:pPr>
    </w:p>
    <w:p w:rsidR="00246432" w:rsidRDefault="00E145E2" w:rsidP="00B97552">
      <w:pPr>
        <w:pStyle w:val="ListParagraph"/>
        <w:numPr>
          <w:ilvl w:val="0"/>
          <w:numId w:val="18"/>
        </w:numPr>
        <w:spacing w:after="200" w:line="276" w:lineRule="auto"/>
        <w:contextualSpacing/>
        <w:rPr>
          <w:rFonts w:cs="Arial"/>
        </w:rPr>
      </w:pPr>
      <w:r w:rsidRPr="00246432">
        <w:rPr>
          <w:rFonts w:cs="Arial"/>
          <w:i/>
        </w:rPr>
        <w:t>“The Social Landlords Mandatory Reduction of Service Charges (England) Directions 2014”</w:t>
      </w:r>
      <w:r w:rsidRPr="00246432">
        <w:rPr>
          <w:rFonts w:cs="Arial"/>
        </w:rPr>
        <w:t>, was issued by the Secretary for State for Communities and Local Government on 11</w:t>
      </w:r>
      <w:r w:rsidRPr="00246432">
        <w:rPr>
          <w:rFonts w:cs="Arial"/>
          <w:vertAlign w:val="superscript"/>
        </w:rPr>
        <w:t>th</w:t>
      </w:r>
      <w:r w:rsidRPr="00246432">
        <w:rPr>
          <w:rFonts w:cs="Arial"/>
        </w:rPr>
        <w:t xml:space="preserve"> August 2014, to be effective 12</w:t>
      </w:r>
      <w:r w:rsidRPr="00246432">
        <w:rPr>
          <w:rFonts w:cs="Arial"/>
          <w:vertAlign w:val="superscript"/>
        </w:rPr>
        <w:t>th</w:t>
      </w:r>
      <w:r w:rsidRPr="00246432">
        <w:rPr>
          <w:rFonts w:cs="Arial"/>
        </w:rPr>
        <w:t xml:space="preserve"> August 2014. The Directions, restrict the amount of </w:t>
      </w:r>
      <w:r w:rsidR="00246432" w:rsidRPr="00246432">
        <w:rPr>
          <w:rFonts w:cs="Arial"/>
        </w:rPr>
        <w:t>service charges that can be recovered to £10,000 (outside London) in a five year period but only where the funding or part funding for the work is provided either from Decent Homes Backlog Funding provided in 2013 Spending Round or any other assistance for the specific purpose of carrying out works of repair, maintenance or improvement provided by any Secretary of State or</w:t>
      </w:r>
      <w:r w:rsidR="00246432">
        <w:rPr>
          <w:rFonts w:cs="Arial"/>
        </w:rPr>
        <w:t xml:space="preserve"> </w:t>
      </w:r>
      <w:r w:rsidR="00246432" w:rsidRPr="00246432">
        <w:rPr>
          <w:rFonts w:cs="Arial"/>
        </w:rPr>
        <w:t xml:space="preserve">the Homes and Communities Agency. </w:t>
      </w:r>
    </w:p>
    <w:p w:rsidR="00246432" w:rsidRDefault="00246432" w:rsidP="00246432">
      <w:pPr>
        <w:pStyle w:val="ListParagraph"/>
        <w:spacing w:after="200" w:line="276" w:lineRule="auto"/>
        <w:ind w:left="709"/>
        <w:contextualSpacing/>
        <w:rPr>
          <w:rFonts w:cs="Arial"/>
        </w:rPr>
      </w:pPr>
    </w:p>
    <w:p w:rsidR="00246432" w:rsidRPr="00246432" w:rsidRDefault="00246432" w:rsidP="00B97552">
      <w:pPr>
        <w:pStyle w:val="ListParagraph"/>
        <w:numPr>
          <w:ilvl w:val="0"/>
          <w:numId w:val="18"/>
        </w:numPr>
        <w:spacing w:after="200" w:line="276" w:lineRule="auto"/>
        <w:contextualSpacing/>
        <w:rPr>
          <w:rFonts w:cs="Arial"/>
        </w:rPr>
      </w:pPr>
      <w:r w:rsidRPr="00246432">
        <w:rPr>
          <w:rFonts w:cs="Arial"/>
        </w:rPr>
        <w:t>Oxford City Council has no current or future planned works that would have such funding arrangements and so is unaffected by these Directions at this stage.</w:t>
      </w:r>
    </w:p>
    <w:p w:rsidR="00246432" w:rsidRDefault="00246432" w:rsidP="00246432">
      <w:pPr>
        <w:pStyle w:val="ListParagraph"/>
        <w:spacing w:after="200" w:line="276" w:lineRule="auto"/>
        <w:ind w:left="360"/>
        <w:contextualSpacing/>
        <w:rPr>
          <w:rFonts w:cs="Arial"/>
        </w:rPr>
      </w:pPr>
    </w:p>
    <w:p w:rsidR="00B97552" w:rsidRDefault="00B97552" w:rsidP="00B97552">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rPr>
            </w:pPr>
            <w:r w:rsidRPr="00681438">
              <w:rPr>
                <w:rFonts w:cs="Arial"/>
                <w:bCs/>
              </w:rPr>
              <w:t>Name and contact details of author:-</w:t>
            </w:r>
          </w:p>
        </w:tc>
      </w:tr>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rPr>
            </w:pPr>
          </w:p>
          <w:p w:rsidR="00B97552" w:rsidRPr="00681438" w:rsidRDefault="00B97552" w:rsidP="001D2992">
            <w:pPr>
              <w:tabs>
                <w:tab w:val="left" w:pos="720"/>
                <w:tab w:val="left" w:pos="1440"/>
                <w:tab w:val="left" w:pos="2160"/>
                <w:tab w:val="left" w:pos="2880"/>
              </w:tabs>
              <w:rPr>
                <w:rFonts w:cs="Arial"/>
              </w:rPr>
            </w:pPr>
            <w:r w:rsidRPr="00681438">
              <w:rPr>
                <w:rFonts w:cs="Arial"/>
              </w:rPr>
              <w:t>Name  Nigel Kennedy/Stephen Clarke</w:t>
            </w:r>
          </w:p>
        </w:tc>
      </w:tr>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rPr>
            </w:pPr>
            <w:r w:rsidRPr="00681438">
              <w:rPr>
                <w:rFonts w:cs="Arial"/>
              </w:rPr>
              <w:t>Job title Head of Finance/Head of Housing and Property</w:t>
            </w:r>
          </w:p>
        </w:tc>
      </w:tr>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rPr>
            </w:pPr>
            <w:r w:rsidRPr="00681438">
              <w:rPr>
                <w:rFonts w:cs="Arial"/>
              </w:rPr>
              <w:t xml:space="preserve">Service Area / Department  Finance </w:t>
            </w:r>
          </w:p>
        </w:tc>
      </w:tr>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color w:val="0000FF"/>
                <w:u w:val="single"/>
              </w:rPr>
            </w:pPr>
            <w:r>
              <w:rPr>
                <w:rFonts w:cs="Arial"/>
              </w:rPr>
              <w:t>Tel:  01865 252534</w:t>
            </w:r>
            <w:r w:rsidRPr="00681438">
              <w:rPr>
                <w:rFonts w:cs="Arial"/>
              </w:rPr>
              <w:t xml:space="preserve">  e-mail:  </w:t>
            </w:r>
            <w:hyperlink r:id="rId11" w:history="1">
              <w:r w:rsidRPr="00AA407A">
                <w:rPr>
                  <w:rStyle w:val="Hyperlink"/>
                  <w:rFonts w:cs="Arial"/>
                </w:rPr>
                <w:t>carnold@oxford.gov.uk</w:t>
              </w:r>
            </w:hyperlink>
          </w:p>
        </w:tc>
      </w:tr>
      <w:tr w:rsidR="00B97552" w:rsidRPr="00681438" w:rsidTr="001D2992">
        <w:tc>
          <w:tcPr>
            <w:tcW w:w="8522" w:type="dxa"/>
          </w:tcPr>
          <w:p w:rsidR="00B97552" w:rsidRPr="00681438" w:rsidRDefault="00B97552" w:rsidP="001D2992">
            <w:pPr>
              <w:tabs>
                <w:tab w:val="left" w:pos="720"/>
                <w:tab w:val="left" w:pos="1440"/>
                <w:tab w:val="left" w:pos="2160"/>
                <w:tab w:val="left" w:pos="2880"/>
              </w:tabs>
              <w:rPr>
                <w:rFonts w:cs="Arial"/>
              </w:rPr>
            </w:pPr>
          </w:p>
        </w:tc>
      </w:tr>
    </w:tbl>
    <w:p w:rsidR="00B97552" w:rsidRDefault="00B97552" w:rsidP="00B97552">
      <w:pPr>
        <w:rPr>
          <w:rFonts w:cs="Arial"/>
        </w:rPr>
      </w:pPr>
    </w:p>
    <w:p w:rsidR="00B97552" w:rsidRDefault="00B97552" w:rsidP="00B97552">
      <w:pPr>
        <w:rPr>
          <w:rFonts w:cs="Arial"/>
        </w:rPr>
      </w:pPr>
      <w:r w:rsidRPr="00357A2A">
        <w:rPr>
          <w:rFonts w:cs="Arial"/>
          <w:b/>
        </w:rPr>
        <w:t>List of background papers:</w:t>
      </w:r>
      <w:r>
        <w:rPr>
          <w:rFonts w:cs="Arial"/>
        </w:rPr>
        <w:t xml:space="preserve">  None</w:t>
      </w:r>
    </w:p>
    <w:p w:rsidR="00B97552" w:rsidRDefault="00B97552" w:rsidP="002F704F">
      <w:pPr>
        <w:autoSpaceDE w:val="0"/>
        <w:autoSpaceDN w:val="0"/>
        <w:adjustRightInd w:val="0"/>
        <w:rPr>
          <w:rFonts w:cs="Arial"/>
          <w:b/>
          <w:bCs/>
        </w:rPr>
      </w:pPr>
      <w:r>
        <w:rPr>
          <w:rFonts w:cs="Arial"/>
          <w:b/>
          <w:bCs/>
        </w:rPr>
        <w:br w:type="page"/>
      </w:r>
    </w:p>
    <w:p w:rsidR="00D653F9" w:rsidRPr="00D653F9" w:rsidRDefault="00D653F9" w:rsidP="002F704F">
      <w:pPr>
        <w:autoSpaceDE w:val="0"/>
        <w:autoSpaceDN w:val="0"/>
        <w:adjustRightInd w:val="0"/>
        <w:rPr>
          <w:rFonts w:cs="Arial"/>
          <w:b/>
          <w:bCs/>
        </w:rPr>
      </w:pPr>
      <w:r w:rsidRPr="00D653F9">
        <w:rPr>
          <w:rFonts w:cs="Arial"/>
          <w:b/>
          <w:bCs/>
        </w:rPr>
        <w:lastRenderedPageBreak/>
        <w:t>Appendix 1 – Statutory Right to a Loan</w:t>
      </w:r>
    </w:p>
    <w:p w:rsidR="00D653F9" w:rsidRDefault="00D653F9" w:rsidP="00D653F9">
      <w:pPr>
        <w:autoSpaceDE w:val="0"/>
        <w:autoSpaceDN w:val="0"/>
        <w:adjustRightInd w:val="0"/>
        <w:ind w:left="426"/>
        <w:rPr>
          <w:rFonts w:cs="Arial"/>
          <w:bCs/>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color w:val="000000"/>
        </w:rPr>
        <w:t xml:space="preserve">The right to a loan is only applicable to leaseholders where the property was purchased under the Right to </w:t>
      </w:r>
      <w:proofErr w:type="gramStart"/>
      <w:r w:rsidRPr="007F51A8">
        <w:rPr>
          <w:color w:val="000000"/>
        </w:rPr>
        <w:t>Buy</w:t>
      </w:r>
      <w:proofErr w:type="gramEnd"/>
      <w:r w:rsidRPr="007F51A8">
        <w:rPr>
          <w:color w:val="000000"/>
        </w:rPr>
        <w:t xml:space="preserve"> within the ten years prior to the major works service charge liability arising. At the time of writing, there are 38 leaseholders currently entitled to a statutory loan</w:t>
      </w:r>
      <w:r w:rsidR="00B13674">
        <w:rPr>
          <w:color w:val="000000"/>
        </w:rPr>
        <w:t xml:space="preserve"> throughout the leasehold stock</w:t>
      </w:r>
      <w:r w:rsidRPr="007F51A8">
        <w:rPr>
          <w:color w:val="000000"/>
        </w:rPr>
        <w:t>.</w:t>
      </w:r>
    </w:p>
    <w:p w:rsidR="00D653F9" w:rsidRPr="00681438" w:rsidRDefault="00D653F9" w:rsidP="00D653F9">
      <w:pPr>
        <w:autoSpaceDE w:val="0"/>
        <w:autoSpaceDN w:val="0"/>
        <w:adjustRightInd w:val="0"/>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 Housing (Service Charge Loans) Regulations 1992, Paragraph 3 (1), states that the leaseholder is required to pay the first £1,500 (updated to £2,790 as at 31/01/2014) of the total of the annual service charge inclusive of the major works charge. An illustrative example of how this would work in practice is as follows :</w:t>
      </w:r>
    </w:p>
    <w:p w:rsidR="00D653F9" w:rsidRDefault="00D653F9" w:rsidP="00D653F9">
      <w:pPr>
        <w:tabs>
          <w:tab w:val="left" w:pos="4395"/>
        </w:tabs>
        <w:autoSpaceDE w:val="0"/>
        <w:autoSpaceDN w:val="0"/>
        <w:adjustRightInd w:val="0"/>
        <w:ind w:left="4395"/>
        <w:rPr>
          <w:rFonts w:eastAsia="Calibri" w:cs="Arial"/>
          <w:bCs/>
          <w:color w:val="000000"/>
        </w:rPr>
      </w:pPr>
    </w:p>
    <w:tbl>
      <w:tblPr>
        <w:tblW w:w="8096" w:type="dxa"/>
        <w:tblInd w:w="863" w:type="dxa"/>
        <w:tblLook w:val="04A0" w:firstRow="1" w:lastRow="0" w:firstColumn="1" w:lastColumn="0" w:noHBand="0" w:noVBand="1"/>
      </w:tblPr>
      <w:tblGrid>
        <w:gridCol w:w="4049"/>
        <w:gridCol w:w="4047"/>
      </w:tblGrid>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Service Charge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£ 1,000.00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Major works Charge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u w:val="single"/>
              </w:rPr>
            </w:pPr>
            <w:r w:rsidRPr="007F51A8">
              <w:rPr>
                <w:rFonts w:eastAsia="Calibri" w:cs="Arial"/>
                <w:bCs/>
                <w:color w:val="000000"/>
                <w:u w:val="single"/>
              </w:rPr>
              <w:t>£30,000.00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Total</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£31,000.00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Less amount to be paid by leaseholder</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u w:val="single"/>
              </w:rPr>
            </w:pPr>
            <w:r w:rsidRPr="007F51A8">
              <w:rPr>
                <w:rFonts w:eastAsia="Calibri" w:cs="Arial"/>
                <w:bCs/>
                <w:color w:val="000000"/>
                <w:u w:val="single"/>
              </w:rPr>
              <w:t>£ 2,790.00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
                <w:bCs/>
                <w:color w:val="000000"/>
              </w:rPr>
            </w:pPr>
            <w:r w:rsidRPr="007F51A8">
              <w:rPr>
                <w:rFonts w:eastAsia="Calibri" w:cs="Arial"/>
                <w:b/>
                <w:bCs/>
                <w:color w:val="000000"/>
              </w:rPr>
              <w:t>Qualifying Loan value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
                <w:bCs/>
                <w:color w:val="000000"/>
              </w:rPr>
            </w:pPr>
            <w:r w:rsidRPr="007F51A8">
              <w:rPr>
                <w:rFonts w:eastAsia="Calibri" w:cs="Arial"/>
                <w:b/>
                <w:bCs/>
                <w:color w:val="000000"/>
              </w:rPr>
              <w:t>£28,210.00</w:t>
            </w:r>
          </w:p>
          <w:p w:rsidR="00D653F9" w:rsidRPr="00894A85" w:rsidRDefault="00D653F9" w:rsidP="007F51A8">
            <w:pPr>
              <w:tabs>
                <w:tab w:val="left" w:pos="4395"/>
              </w:tabs>
              <w:autoSpaceDE w:val="0"/>
              <w:autoSpaceDN w:val="0"/>
              <w:adjustRightInd w:val="0"/>
              <w:rPr>
                <w:rFonts w:eastAsia="Calibri" w:cs="Arial"/>
                <w:b/>
                <w:bCs/>
                <w:color w:val="000000"/>
              </w:rPr>
            </w:pPr>
          </w:p>
        </w:tc>
      </w:tr>
    </w:tbl>
    <w:p w:rsidR="00D653F9" w:rsidRPr="007F51A8" w:rsidRDefault="00D653F9" w:rsidP="0085746F">
      <w:pPr>
        <w:pStyle w:val="ListParagraph"/>
        <w:numPr>
          <w:ilvl w:val="0"/>
          <w:numId w:val="5"/>
        </w:numPr>
        <w:tabs>
          <w:tab w:val="left" w:pos="4395"/>
        </w:tabs>
        <w:autoSpaceDE w:val="0"/>
        <w:autoSpaceDN w:val="0"/>
        <w:adjustRightInd w:val="0"/>
        <w:rPr>
          <w:rFonts w:eastAsia="Calibri" w:cs="Arial"/>
          <w:bCs/>
          <w:color w:val="000000"/>
        </w:rPr>
      </w:pPr>
      <w:r w:rsidRPr="007F51A8">
        <w:rPr>
          <w:rFonts w:eastAsia="Calibri" w:cs="Arial"/>
          <w:bCs/>
          <w:color w:val="000000"/>
        </w:rPr>
        <w:t>Where the qualifying loan value is in excess of £37,201, The Housing (Service Charge Loans) Regulations 1992, Paragraph 5 (1 &amp; 2) allows the Council, the discretion to make a loan for the higher value.</w:t>
      </w:r>
    </w:p>
    <w:p w:rsidR="00D653F9" w:rsidRPr="00681438" w:rsidRDefault="00D653F9" w:rsidP="00D653F9">
      <w:pPr>
        <w:tabs>
          <w:tab w:val="left" w:pos="4395"/>
        </w:tabs>
        <w:autoSpaceDE w:val="0"/>
        <w:autoSpaceDN w:val="0"/>
        <w:adjustRightInd w:val="0"/>
        <w:ind w:left="1843"/>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 original regulations provide for the qualifying amount of loan as follows :</w:t>
      </w:r>
    </w:p>
    <w:p w:rsidR="00D653F9" w:rsidRPr="00681438" w:rsidRDefault="00D653F9" w:rsidP="00D653F9">
      <w:pPr>
        <w:autoSpaceDE w:val="0"/>
        <w:autoSpaceDN w:val="0"/>
        <w:adjustRightInd w:val="0"/>
        <w:rPr>
          <w:rFonts w:eastAsia="Calibri" w:cs="Arial"/>
          <w:bCs/>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860"/>
        <w:gridCol w:w="3433"/>
      </w:tblGrid>
      <w:tr w:rsidR="00D653F9" w:rsidRPr="00681438" w:rsidTr="007611CB">
        <w:trPr>
          <w:trHeight w:val="168"/>
        </w:trPr>
        <w:tc>
          <w:tcPr>
            <w:tcW w:w="4860"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Amount of the Loan</w:t>
            </w:r>
          </w:p>
        </w:tc>
        <w:tc>
          <w:tcPr>
            <w:tcW w:w="3433"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Length of the plan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Less than £500</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Not eligible for loan</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Between £500 and £ 1,500</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36 months (three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£1,501 and £5,000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60 months (five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£5,000 and to £20,000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120 months (10 years) </w:t>
            </w:r>
          </w:p>
        </w:tc>
      </w:tr>
    </w:tbl>
    <w:p w:rsidR="00D653F9" w:rsidRPr="00681438" w:rsidRDefault="00D653F9" w:rsidP="00D653F9">
      <w:pPr>
        <w:autoSpaceDE w:val="0"/>
        <w:autoSpaceDN w:val="0"/>
        <w:adjustRightInd w:val="0"/>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These amounts are subject to annual RPI uplifts giving revised amounts of eligible loan as at 31</w:t>
      </w:r>
      <w:r w:rsidRPr="007F51A8">
        <w:rPr>
          <w:rFonts w:eastAsia="Calibri" w:cs="Arial"/>
          <w:bCs/>
          <w:color w:val="000000"/>
          <w:vertAlign w:val="superscript"/>
        </w:rPr>
        <w:t>st</w:t>
      </w:r>
      <w:r w:rsidRPr="007F51A8">
        <w:rPr>
          <w:rFonts w:eastAsia="Calibri" w:cs="Arial"/>
          <w:bCs/>
          <w:color w:val="000000"/>
        </w:rPr>
        <w:t xml:space="preserve"> January 2014 of:</w:t>
      </w:r>
    </w:p>
    <w:p w:rsidR="00D653F9" w:rsidRPr="00681438" w:rsidRDefault="00D653F9" w:rsidP="00D653F9">
      <w:pPr>
        <w:autoSpaceDE w:val="0"/>
        <w:autoSpaceDN w:val="0"/>
        <w:adjustRightInd w:val="0"/>
        <w:ind w:left="60"/>
        <w:rPr>
          <w:rFonts w:eastAsia="Calibri" w:cs="Arial"/>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860"/>
        <w:gridCol w:w="3433"/>
      </w:tblGrid>
      <w:tr w:rsidR="00D653F9" w:rsidRPr="00681438" w:rsidTr="007611CB">
        <w:trPr>
          <w:trHeight w:val="168"/>
        </w:trPr>
        <w:tc>
          <w:tcPr>
            <w:tcW w:w="4860"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Amount of the Loan </w:t>
            </w:r>
          </w:p>
        </w:tc>
        <w:tc>
          <w:tcPr>
            <w:tcW w:w="3433"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Length of the plan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Less than £929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Not eligible for loan</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£930 and £ £2,790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36 months (three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£2,791 and £9,314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60 months (five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£9,315 to £37,201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120 months (10 years) </w:t>
            </w:r>
          </w:p>
        </w:tc>
      </w:tr>
    </w:tbl>
    <w:p w:rsidR="00D653F9" w:rsidRPr="00681438" w:rsidRDefault="00D653F9" w:rsidP="00D653F9">
      <w:pPr>
        <w:autoSpaceDE w:val="0"/>
        <w:autoSpaceDN w:val="0"/>
        <w:adjustRightInd w:val="0"/>
        <w:rPr>
          <w:rFonts w:eastAsia="Calibri" w:cs="Arial"/>
          <w:bCs/>
          <w:color w:val="000000"/>
        </w:rPr>
      </w:pPr>
    </w:p>
    <w:p w:rsidR="00D653F9" w:rsidRPr="00615404" w:rsidRDefault="00D653F9" w:rsidP="0085746F">
      <w:pPr>
        <w:pStyle w:val="ListParagraph"/>
        <w:numPr>
          <w:ilvl w:val="0"/>
          <w:numId w:val="5"/>
        </w:numPr>
        <w:autoSpaceDE w:val="0"/>
        <w:autoSpaceDN w:val="0"/>
        <w:adjustRightInd w:val="0"/>
        <w:rPr>
          <w:rFonts w:eastAsia="Calibri" w:cs="Arial"/>
          <w:bCs/>
          <w:color w:val="000000"/>
        </w:rPr>
      </w:pPr>
      <w:r w:rsidRPr="00615404">
        <w:rPr>
          <w:rFonts w:eastAsia="Calibri" w:cs="Arial"/>
          <w:bCs/>
          <w:color w:val="000000"/>
        </w:rPr>
        <w:t>The Housing (Service Charge Loans</w:t>
      </w:r>
      <w:r w:rsidR="00E35ECB">
        <w:rPr>
          <w:rFonts w:eastAsia="Calibri" w:cs="Arial"/>
          <w:bCs/>
          <w:color w:val="000000"/>
        </w:rPr>
        <w:t>)</w:t>
      </w:r>
      <w:r w:rsidR="00615404">
        <w:rPr>
          <w:rFonts w:eastAsia="Calibri" w:cs="Arial"/>
          <w:bCs/>
          <w:color w:val="000000"/>
        </w:rPr>
        <w:t xml:space="preserve"> </w:t>
      </w:r>
      <w:r w:rsidR="00E35ECB">
        <w:rPr>
          <w:rFonts w:eastAsia="Calibri" w:cs="Arial"/>
          <w:bCs/>
          <w:color w:val="000000"/>
        </w:rPr>
        <w:t>(</w:t>
      </w:r>
      <w:r w:rsidRPr="00615404">
        <w:rPr>
          <w:rFonts w:eastAsia="Calibri" w:cs="Arial"/>
          <w:bCs/>
          <w:color w:val="000000"/>
        </w:rPr>
        <w:t>Amendment)</w:t>
      </w:r>
      <w:r w:rsidR="00615404" w:rsidRPr="00615404">
        <w:rPr>
          <w:rFonts w:eastAsia="Calibri" w:cs="Arial"/>
          <w:bCs/>
          <w:color w:val="000000"/>
        </w:rPr>
        <w:t>( England)</w:t>
      </w:r>
      <w:r w:rsidR="00615404">
        <w:rPr>
          <w:rFonts w:eastAsia="Calibri" w:cs="Arial"/>
          <w:bCs/>
          <w:color w:val="000000"/>
        </w:rPr>
        <w:t xml:space="preserve"> Regulations</w:t>
      </w:r>
      <w:r w:rsidRPr="00615404">
        <w:rPr>
          <w:rFonts w:eastAsia="Calibri" w:cs="Arial"/>
          <w:bCs/>
          <w:color w:val="000000"/>
        </w:rPr>
        <w:t xml:space="preserve"> 2009 provides for the loan offer to be made on terms that: </w:t>
      </w:r>
    </w:p>
    <w:p w:rsidR="00D653F9" w:rsidRPr="00681438" w:rsidRDefault="00D653F9" w:rsidP="00D653F9">
      <w:pPr>
        <w:autoSpaceDE w:val="0"/>
        <w:autoSpaceDN w:val="0"/>
        <w:adjustRightInd w:val="0"/>
        <w:rPr>
          <w:rFonts w:eastAsia="Calibri" w:cs="Arial"/>
          <w:bCs/>
          <w:color w:val="000000"/>
        </w:rPr>
      </w:pP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do not require payment of interest or</w:t>
      </w: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 xml:space="preserve">require the payment of interest only on part of the loan or </w:t>
      </w: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on terms as the lender may determine</w:t>
      </w:r>
    </w:p>
    <w:p w:rsidR="00D653F9" w:rsidRPr="00681438" w:rsidRDefault="00D653F9" w:rsidP="00D653F9">
      <w:pPr>
        <w:pStyle w:val="ListParagraph"/>
        <w:ind w:left="0"/>
        <w:rPr>
          <w:rFonts w:eastAsia="Calibri" w:cs="Arial"/>
          <w:color w:val="000000"/>
        </w:rPr>
      </w:pPr>
    </w:p>
    <w:p w:rsidR="00D653F9" w:rsidRPr="007F51A8" w:rsidRDefault="007F51A8" w:rsidP="0085746F">
      <w:pPr>
        <w:pStyle w:val="ListParagraph"/>
        <w:numPr>
          <w:ilvl w:val="0"/>
          <w:numId w:val="5"/>
        </w:numPr>
        <w:rPr>
          <w:rFonts w:cs="Arial"/>
        </w:rPr>
      </w:pPr>
      <w:r>
        <w:rPr>
          <w:rFonts w:eastAsia="Calibri" w:cs="Arial"/>
          <w:color w:val="000000"/>
        </w:rPr>
        <w:t xml:space="preserve">The </w:t>
      </w:r>
      <w:r w:rsidR="00D653F9" w:rsidRPr="007F51A8">
        <w:rPr>
          <w:rFonts w:eastAsia="Calibri" w:cs="Arial"/>
          <w:color w:val="000000"/>
        </w:rPr>
        <w:t xml:space="preserve">Interest </w:t>
      </w:r>
      <w:r>
        <w:rPr>
          <w:rFonts w:eastAsia="Calibri" w:cs="Arial"/>
          <w:color w:val="000000"/>
        </w:rPr>
        <w:t xml:space="preserve">Rate </w:t>
      </w:r>
      <w:r w:rsidR="00D653F9" w:rsidRPr="007F51A8">
        <w:rPr>
          <w:rFonts w:eastAsia="Calibri" w:cs="Arial"/>
          <w:color w:val="000000"/>
        </w:rPr>
        <w:t>is added to the principal sum at the “Local Average Rate” calculated in accordance with Section 438 and Schedule 16 of the Housing Act 1985 being the higher of</w:t>
      </w:r>
      <w:r>
        <w:rPr>
          <w:rFonts w:eastAsia="Calibri" w:cs="Arial"/>
          <w:color w:val="000000"/>
        </w:rPr>
        <w:t>:</w:t>
      </w:r>
    </w:p>
    <w:p w:rsidR="007F51A8" w:rsidRPr="007F51A8" w:rsidRDefault="007F51A8" w:rsidP="007F51A8">
      <w:pPr>
        <w:pStyle w:val="ListParagraph"/>
        <w:ind w:left="1440"/>
        <w:rPr>
          <w:rFonts w:cs="Arial"/>
        </w:rPr>
      </w:pPr>
    </w:p>
    <w:p w:rsidR="00D653F9" w:rsidRDefault="00D653F9" w:rsidP="0085746F">
      <w:pPr>
        <w:pStyle w:val="ListParagraph"/>
        <w:numPr>
          <w:ilvl w:val="0"/>
          <w:numId w:val="8"/>
        </w:numPr>
        <w:ind w:left="1440"/>
        <w:rPr>
          <w:rFonts w:cs="Arial"/>
        </w:rPr>
      </w:pPr>
      <w:r w:rsidRPr="007F51A8">
        <w:rPr>
          <w:rFonts w:eastAsia="Calibri" w:cs="Arial"/>
          <w:color w:val="000000"/>
        </w:rPr>
        <w:t xml:space="preserve">the Standard National Rate (SNR) </w:t>
      </w:r>
      <w:r w:rsidRPr="007F51A8">
        <w:rPr>
          <w:rFonts w:cs="Arial"/>
        </w:rPr>
        <w:t xml:space="preserve">of interest as set by the Secretary of State after taking into account rates charged by building societies in the United Kingdom and any movement in those rates and </w:t>
      </w:r>
    </w:p>
    <w:p w:rsidR="007F51A8" w:rsidRPr="007F51A8" w:rsidRDefault="007F51A8" w:rsidP="007F51A8">
      <w:pPr>
        <w:pStyle w:val="ListParagraph"/>
        <w:ind w:left="1440"/>
        <w:rPr>
          <w:rFonts w:cs="Arial"/>
        </w:rPr>
      </w:pPr>
    </w:p>
    <w:p w:rsidR="00D653F9" w:rsidRPr="007F51A8" w:rsidRDefault="00D653F9" w:rsidP="0085746F">
      <w:pPr>
        <w:pStyle w:val="ListParagraph"/>
        <w:numPr>
          <w:ilvl w:val="0"/>
          <w:numId w:val="8"/>
        </w:numPr>
        <w:autoSpaceDE w:val="0"/>
        <w:autoSpaceDN w:val="0"/>
        <w:adjustRightInd w:val="0"/>
        <w:ind w:left="1440"/>
        <w:rPr>
          <w:rFonts w:cs="Arial"/>
        </w:rPr>
      </w:pPr>
      <w:proofErr w:type="gramStart"/>
      <w:r w:rsidRPr="007F51A8">
        <w:rPr>
          <w:rFonts w:cs="Arial"/>
        </w:rPr>
        <w:t>applicable</w:t>
      </w:r>
      <w:proofErr w:type="gramEnd"/>
      <w:r w:rsidRPr="007F51A8">
        <w:rPr>
          <w:rFonts w:cs="Arial"/>
        </w:rPr>
        <w:t xml:space="preserve"> local average rate, based on the Authority’s own borrowing costs.</w:t>
      </w:r>
      <w:r w:rsidRPr="007F51A8">
        <w:rPr>
          <w:rFonts w:cs="Arial"/>
        </w:rPr>
        <w:tab/>
        <w:t>This rate is a variable rate which is reviewed every 6 months and is currently 3.6%.</w:t>
      </w:r>
    </w:p>
    <w:p w:rsidR="00D653F9" w:rsidRPr="00681438" w:rsidRDefault="00D653F9" w:rsidP="00D653F9">
      <w:pPr>
        <w:widowControl w:val="0"/>
        <w:suppressAutoHyphens/>
        <w:autoSpaceDE w:val="0"/>
        <w:rPr>
          <w:rFonts w:eastAsia="Calibri" w:cs="Arial"/>
          <w:color w:val="000000"/>
        </w:rPr>
      </w:pPr>
    </w:p>
    <w:p w:rsidR="00D653F9" w:rsidRPr="007F51A8" w:rsidRDefault="00D653F9" w:rsidP="0085746F">
      <w:pPr>
        <w:pStyle w:val="ListParagraph"/>
        <w:widowControl w:val="0"/>
        <w:numPr>
          <w:ilvl w:val="0"/>
          <w:numId w:val="5"/>
        </w:numPr>
        <w:suppressAutoHyphens/>
        <w:autoSpaceDE w:val="0"/>
        <w:rPr>
          <w:rFonts w:eastAsia="Calibri" w:cs="Arial"/>
          <w:color w:val="000000"/>
        </w:rPr>
      </w:pPr>
      <w:r w:rsidRPr="007F51A8">
        <w:rPr>
          <w:rFonts w:eastAsia="Calibri" w:cs="Arial"/>
        </w:rPr>
        <w:t xml:space="preserve">The Council is allowed to charge administrative costs – up to a maximum of £100 under Schedule 2, paragraph 3 of the </w:t>
      </w:r>
      <w:r w:rsidRPr="007F51A8">
        <w:rPr>
          <w:rFonts w:eastAsia="Calibri" w:cs="Arial"/>
          <w:bCs/>
          <w:color w:val="000000"/>
        </w:rPr>
        <w:t>Housing (Service Charge Loans) Regulations 1992</w:t>
      </w:r>
      <w:r w:rsidRPr="007F51A8">
        <w:rPr>
          <w:rFonts w:eastAsia="Calibri" w:cs="Arial"/>
        </w:rPr>
        <w:t>, which can either be paid immediately or added to the loan agreement.</w:t>
      </w:r>
    </w:p>
    <w:p w:rsidR="00D653F9" w:rsidRPr="00681438" w:rsidRDefault="00D653F9" w:rsidP="00D653F9">
      <w:pPr>
        <w:widowControl w:val="0"/>
        <w:suppressAutoHyphens/>
        <w:autoSpaceDE w:val="0"/>
        <w:ind w:left="426"/>
        <w:rPr>
          <w:rFonts w:eastAsia="Calibri" w:cs="Arial"/>
          <w:color w:val="000000"/>
        </w:rPr>
      </w:pPr>
    </w:p>
    <w:p w:rsidR="00D653F9" w:rsidRDefault="00D653F9" w:rsidP="0085746F">
      <w:pPr>
        <w:pStyle w:val="ListParagraph"/>
        <w:numPr>
          <w:ilvl w:val="0"/>
          <w:numId w:val="5"/>
        </w:numPr>
        <w:autoSpaceDE w:val="0"/>
        <w:autoSpaceDN w:val="0"/>
        <w:adjustRightInd w:val="0"/>
        <w:rPr>
          <w:rFonts w:eastAsia="Calibri" w:cs="Arial"/>
          <w:color w:val="000000"/>
        </w:rPr>
      </w:pPr>
      <w:r w:rsidRPr="007F51A8">
        <w:rPr>
          <w:rFonts w:eastAsia="Calibri" w:cs="Arial"/>
          <w:color w:val="000000"/>
        </w:rPr>
        <w:t xml:space="preserve">All such loans act in the same way as a mortgage, and a charge will be put on the property as security for the loan, with the agreement of the leaseholder. The Land Registry would be informed that there is a debt against the property. If the property is sold the debt outstanding will be recalculated and have to be paid back to the Council from the proceeds of the sale. </w:t>
      </w:r>
    </w:p>
    <w:p w:rsidR="005C1F6B" w:rsidRPr="005C1F6B" w:rsidRDefault="005C1F6B" w:rsidP="005C1F6B">
      <w:pPr>
        <w:pStyle w:val="ListParagraph"/>
        <w:rPr>
          <w:rFonts w:eastAsia="Calibri" w:cs="Arial"/>
          <w:color w:val="000000"/>
        </w:rPr>
      </w:pPr>
    </w:p>
    <w:p w:rsidR="005C1F6B" w:rsidRPr="007F51A8" w:rsidRDefault="005C1F6B" w:rsidP="0085746F">
      <w:pPr>
        <w:pStyle w:val="ListParagraph"/>
        <w:numPr>
          <w:ilvl w:val="0"/>
          <w:numId w:val="5"/>
        </w:numPr>
        <w:autoSpaceDE w:val="0"/>
        <w:autoSpaceDN w:val="0"/>
        <w:adjustRightInd w:val="0"/>
        <w:rPr>
          <w:rFonts w:eastAsia="Calibri" w:cs="Arial"/>
          <w:color w:val="000000"/>
        </w:rPr>
      </w:pPr>
      <w:r>
        <w:rPr>
          <w:rFonts w:eastAsia="Calibri" w:cs="Arial"/>
          <w:color w:val="000000"/>
        </w:rPr>
        <w:t>The Council recognises that the statutory right to a loan may still provide an unaffordable solution</w:t>
      </w:r>
      <w:r w:rsidR="008237CC">
        <w:rPr>
          <w:rFonts w:eastAsia="Calibri" w:cs="Arial"/>
          <w:color w:val="000000"/>
        </w:rPr>
        <w:t xml:space="preserve"> for leaseholders with a m</w:t>
      </w:r>
      <w:r>
        <w:rPr>
          <w:rFonts w:eastAsia="Calibri" w:cs="Arial"/>
          <w:color w:val="000000"/>
        </w:rPr>
        <w:t>ajor works invoice and the Councils Financial Assistance Framework options may be more suitable.</w:t>
      </w:r>
    </w:p>
    <w:p w:rsidR="00357A2A" w:rsidRDefault="00357A2A" w:rsidP="00F15F64">
      <w:pPr>
        <w:tabs>
          <w:tab w:val="left" w:pos="7535"/>
        </w:tabs>
        <w:rPr>
          <w:rFonts w:cs="Arial"/>
          <w:bCs/>
        </w:rPr>
      </w:pPr>
      <w:r>
        <w:rPr>
          <w:rFonts w:cs="Arial"/>
          <w:bCs/>
        </w:rPr>
        <w:br w:type="page"/>
      </w:r>
    </w:p>
    <w:p w:rsidR="007F51A8" w:rsidRDefault="007F51A8"/>
    <w:p w:rsidR="007F51A8" w:rsidRPr="00681438" w:rsidRDefault="007F51A8" w:rsidP="007F51A8">
      <w:pPr>
        <w:jc w:val="both"/>
        <w:rPr>
          <w:rFonts w:cs="Arial"/>
          <w:b/>
        </w:rPr>
      </w:pPr>
      <w:r>
        <w:rPr>
          <w:b/>
        </w:rPr>
        <w:t xml:space="preserve">Appendix </w:t>
      </w:r>
      <w:r w:rsidR="0085746F">
        <w:rPr>
          <w:b/>
        </w:rPr>
        <w:t>2</w:t>
      </w:r>
      <w:r w:rsidRPr="007F51A8">
        <w:rPr>
          <w:rFonts w:cs="Arial"/>
          <w:b/>
        </w:rPr>
        <w:t xml:space="preserve"> </w:t>
      </w:r>
      <w:r>
        <w:rPr>
          <w:rFonts w:cs="Arial"/>
          <w:b/>
        </w:rPr>
        <w:t xml:space="preserve">- </w:t>
      </w:r>
      <w:r w:rsidRPr="00681438">
        <w:rPr>
          <w:rFonts w:cs="Arial"/>
          <w:b/>
        </w:rPr>
        <w:t xml:space="preserve">Financial Assistance </w:t>
      </w:r>
      <w:r>
        <w:rPr>
          <w:rFonts w:cs="Arial"/>
          <w:b/>
        </w:rPr>
        <w:t>Framework</w:t>
      </w:r>
    </w:p>
    <w:p w:rsidR="007F51A8" w:rsidRDefault="007F51A8" w:rsidP="007F51A8">
      <w:pPr>
        <w:ind w:left="426"/>
        <w:rPr>
          <w:rFonts w:cs="Arial"/>
        </w:rPr>
      </w:pPr>
    </w:p>
    <w:tbl>
      <w:tblPr>
        <w:tblW w:w="0" w:type="auto"/>
        <w:tblCellMar>
          <w:left w:w="0" w:type="dxa"/>
          <w:right w:w="0" w:type="dxa"/>
        </w:tblCellMar>
        <w:tblLook w:val="04A0" w:firstRow="1" w:lastRow="0" w:firstColumn="1" w:lastColumn="0" w:noHBand="0" w:noVBand="1"/>
      </w:tblPr>
      <w:tblGrid>
        <w:gridCol w:w="3418"/>
        <w:gridCol w:w="4912"/>
      </w:tblGrid>
      <w:tr w:rsidR="007F51A8" w:rsidTr="008570EA">
        <w:tc>
          <w:tcPr>
            <w:tcW w:w="3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Repayment Option</w:t>
            </w:r>
          </w:p>
        </w:tc>
        <w:tc>
          <w:tcPr>
            <w:tcW w:w="4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Description</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Loan with interest</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A831D3">
            <w:pPr>
              <w:rPr>
                <w:rFonts w:eastAsia="Calibri" w:cs="Arial"/>
              </w:rPr>
            </w:pPr>
            <w:r>
              <w:t xml:space="preserve">Variable interest rate loan as set out in </w:t>
            </w:r>
            <w:r w:rsidR="00A831D3">
              <w:t>appendix 1</w:t>
            </w:r>
            <w:r>
              <w:t xml:space="preserve"> of this report </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Interest free loan (36 months)</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Interest free instalment scheme over 36 months (available if payments made by Direct Debit)</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5 Year payment plan</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A831D3">
            <w:pPr>
              <w:rPr>
                <w:rFonts w:eastAsia="Calibri" w:cs="Arial"/>
              </w:rPr>
            </w:pPr>
            <w:r>
              <w:t xml:space="preserve">36 month interest free with 24 months at interest as set out in </w:t>
            </w:r>
            <w:r w:rsidR="00A831D3">
              <w:t>appendix 1</w:t>
            </w:r>
            <w:r>
              <w:t xml:space="preserve"> of this report (available if payments made by direct debit)</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6B3520" w:rsidRDefault="007F51A8" w:rsidP="00E92C14">
            <w:pPr>
              <w:rPr>
                <w:rFonts w:eastAsia="Calibri" w:cs="Arial"/>
                <w:vertAlign w:val="superscript"/>
              </w:rPr>
            </w:pPr>
            <w:r>
              <w:t xml:space="preserve">Charge on property </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E92C14">
            <w:pPr>
              <w:rPr>
                <w:rFonts w:eastAsia="Calibri" w:cs="Arial"/>
              </w:rPr>
            </w:pPr>
            <w:r>
              <w:t>A charge on the property would be applied and the Councils invoice paid when the property is subsequently sold.  The charge would be based on an ‘equity stake’</w:t>
            </w:r>
            <w:r w:rsidR="00E92C14">
              <w:rPr>
                <w:vertAlign w:val="superscript"/>
              </w:rPr>
              <w:t xml:space="preserve">*1 </w:t>
            </w:r>
            <w:r>
              <w:t>represented by the percentage of the value of the property that the financial assistance required relates to from the date on the demand.</w:t>
            </w:r>
          </w:p>
        </w:tc>
      </w:tr>
    </w:tbl>
    <w:p w:rsidR="007F51A8" w:rsidRPr="00681438" w:rsidRDefault="007F51A8" w:rsidP="007F51A8">
      <w:pPr>
        <w:ind w:left="426"/>
        <w:rPr>
          <w:rFonts w:cs="Arial"/>
        </w:rPr>
      </w:pPr>
    </w:p>
    <w:p w:rsidR="007F51A8" w:rsidRDefault="00E92C14" w:rsidP="007F51A8">
      <w:pPr>
        <w:autoSpaceDE w:val="0"/>
        <w:autoSpaceDN w:val="0"/>
        <w:adjustRightInd w:val="0"/>
        <w:rPr>
          <w:rFonts w:eastAsia="Calibri" w:cs="Arial"/>
        </w:rPr>
      </w:pPr>
      <w:r>
        <w:rPr>
          <w:rFonts w:eastAsia="Calibri" w:cs="Arial"/>
        </w:rPr>
        <w:t xml:space="preserve">*1- </w:t>
      </w:r>
      <w:r w:rsidR="007F51A8">
        <w:rPr>
          <w:rFonts w:eastAsia="Calibri" w:cs="Arial"/>
        </w:rPr>
        <w:t>This seems equitable since in a rising market the amount due to the Council would increase and in a decreasing market the amount due to the Council would decrease</w:t>
      </w:r>
      <w:r w:rsidR="007F51A8" w:rsidRPr="00681438">
        <w:rPr>
          <w:rFonts w:eastAsia="Calibri" w:cs="Arial"/>
        </w:rPr>
        <w:t>.</w:t>
      </w:r>
    </w:p>
    <w:p w:rsidR="003B47D7" w:rsidRDefault="003B47D7">
      <w:pPr>
        <w:rPr>
          <w:b/>
        </w:rPr>
      </w:pPr>
      <w:r>
        <w:rPr>
          <w:b/>
        </w:rPr>
        <w:br w:type="page"/>
      </w:r>
    </w:p>
    <w:p w:rsidR="003B47D7" w:rsidRDefault="003B47D7">
      <w:pPr>
        <w:rPr>
          <w:rFonts w:cs="Arial"/>
          <w:b/>
          <w:bCs/>
        </w:rPr>
      </w:pPr>
      <w:r w:rsidRPr="003B47D7">
        <w:rPr>
          <w:rFonts w:eastAsia="Calibri" w:cs="Arial"/>
          <w:b/>
          <w:bCs/>
        </w:rPr>
        <w:lastRenderedPageBreak/>
        <w:t>Appendix 3 – Eligibility Scenarios</w:t>
      </w:r>
      <w:r w:rsidRPr="003B47D7">
        <w:rPr>
          <w:rFonts w:cs="Arial"/>
          <w:b/>
          <w:bCs/>
        </w:rPr>
        <w:t xml:space="preserve"> </w:t>
      </w:r>
    </w:p>
    <w:p w:rsidR="003B47D7" w:rsidRDefault="003B47D7">
      <w:pPr>
        <w:rPr>
          <w:rFonts w:cs="Arial"/>
          <w:b/>
          <w:bCs/>
        </w:rPr>
      </w:pPr>
    </w:p>
    <w:p w:rsidR="00027B25" w:rsidRDefault="00027B25">
      <w:pPr>
        <w:rPr>
          <w:rFonts w:cs="Arial"/>
          <w:b/>
          <w:bCs/>
        </w:rPr>
      </w:pPr>
    </w:p>
    <w:p w:rsidR="00027B25" w:rsidRDefault="00027B25">
      <w:pPr>
        <w:rPr>
          <w:rFonts w:cs="Arial"/>
          <w:b/>
          <w:bCs/>
        </w:rPr>
      </w:pPr>
    </w:p>
    <w:p w:rsidR="003B47D7" w:rsidRDefault="003B47D7">
      <w:pPr>
        <w:rPr>
          <w:rFonts w:cs="Arial"/>
          <w:bCs/>
        </w:rPr>
      </w:pPr>
      <w:r>
        <w:rPr>
          <w:rFonts w:cs="Arial"/>
          <w:bCs/>
        </w:rPr>
        <w:t>Example 1</w:t>
      </w:r>
    </w:p>
    <w:p w:rsidR="003B47D7" w:rsidRDefault="003B47D7">
      <w:pPr>
        <w:rPr>
          <w:rFonts w:cs="Arial"/>
          <w:bCs/>
        </w:rPr>
      </w:pPr>
      <w:r>
        <w:rPr>
          <w:rFonts w:cs="Arial"/>
          <w:bCs/>
        </w:rPr>
        <w:t>A leaseholder with a major works invoice of £3,500 has no other assets or savings but has a disposable income of £</w:t>
      </w:r>
      <w:r w:rsidR="00027B25">
        <w:rPr>
          <w:rFonts w:cs="Arial"/>
          <w:bCs/>
        </w:rPr>
        <w:t>140</w:t>
      </w:r>
      <w:r w:rsidR="00ED3C39">
        <w:rPr>
          <w:rFonts w:cs="Arial"/>
          <w:bCs/>
        </w:rPr>
        <w:t>.00</w:t>
      </w:r>
      <w:r>
        <w:rPr>
          <w:rFonts w:cs="Arial"/>
          <w:bCs/>
        </w:rPr>
        <w:t xml:space="preserve"> per month. </w:t>
      </w:r>
      <w:r w:rsidR="00027B25">
        <w:rPr>
          <w:rFonts w:cs="Arial"/>
          <w:bCs/>
        </w:rPr>
        <w:t>His applicable disposable income would be £100</w:t>
      </w:r>
      <w:r w:rsidR="00ED3C39">
        <w:rPr>
          <w:rFonts w:cs="Arial"/>
          <w:bCs/>
        </w:rPr>
        <w:t>.00</w:t>
      </w:r>
      <w:r w:rsidR="00027B25">
        <w:rPr>
          <w:rFonts w:cs="Arial"/>
          <w:bCs/>
        </w:rPr>
        <w:t xml:space="preserve"> per month that he would be expected to use for a loan. He would</w:t>
      </w:r>
      <w:r>
        <w:rPr>
          <w:rFonts w:cs="Arial"/>
          <w:bCs/>
        </w:rPr>
        <w:t xml:space="preserve"> be entitled to a 3 year interest free loan. Repayments will be made at £97.22 per month.</w:t>
      </w:r>
      <w:r w:rsidR="00027B25">
        <w:rPr>
          <w:rFonts w:cs="Arial"/>
          <w:bCs/>
        </w:rPr>
        <w:t xml:space="preserve"> After the loan repayments, he would be left with a new</w:t>
      </w:r>
      <w:r w:rsidR="00ED3C39">
        <w:rPr>
          <w:rFonts w:cs="Arial"/>
          <w:bCs/>
        </w:rPr>
        <w:t xml:space="preserve"> monthly </w:t>
      </w:r>
      <w:r w:rsidR="00027B25">
        <w:rPr>
          <w:rFonts w:cs="Arial"/>
          <w:bCs/>
        </w:rPr>
        <w:t>disposable income of £42.78.</w:t>
      </w:r>
    </w:p>
    <w:p w:rsidR="003B47D7" w:rsidRDefault="003B47D7">
      <w:pPr>
        <w:rPr>
          <w:rFonts w:cs="Arial"/>
          <w:bCs/>
        </w:rPr>
      </w:pPr>
    </w:p>
    <w:p w:rsidR="003B47D7" w:rsidRDefault="003B47D7">
      <w:pPr>
        <w:rPr>
          <w:rFonts w:cs="Arial"/>
          <w:bCs/>
        </w:rPr>
      </w:pPr>
      <w:r>
        <w:rPr>
          <w:rFonts w:cs="Arial"/>
          <w:bCs/>
        </w:rPr>
        <w:t>Example 2</w:t>
      </w:r>
    </w:p>
    <w:p w:rsidR="00ED3C39" w:rsidRDefault="00ED3C39" w:rsidP="00ED3C39">
      <w:pPr>
        <w:rPr>
          <w:rFonts w:cs="Arial"/>
          <w:bCs/>
        </w:rPr>
      </w:pPr>
      <w:r>
        <w:rPr>
          <w:rFonts w:cs="Arial"/>
          <w:bCs/>
        </w:rPr>
        <w:t xml:space="preserve">A leaseholder with a major works invoice of £3,500 has no other assets or savings but has a disposable income of £120.00 per month. His applicable disposable income would be £80.00 per month that he would be expected to use for a loan. He does not have sufficient available funds to use the 3 year interest free loan option. He will be entitled to a 5 year loan with the first 3 years interest free. Payments in the first 36 months will be £80.00 per month with loan repayments at £26.81 per month for the final 24 months. </w:t>
      </w:r>
      <w:proofErr w:type="gramStart"/>
      <w:r>
        <w:rPr>
          <w:rFonts w:cs="Arial"/>
          <w:bCs/>
        </w:rPr>
        <w:t>The total interest payable being £23.52 over the whole period.</w:t>
      </w:r>
      <w:proofErr w:type="gramEnd"/>
      <w:r>
        <w:rPr>
          <w:rFonts w:cs="Arial"/>
          <w:bCs/>
        </w:rPr>
        <w:t xml:space="preserve"> After the loan repayments, he would be left with a new monthly disposable income of £40.00 for the first 3 years, then £96.48.</w:t>
      </w:r>
    </w:p>
    <w:p w:rsidR="008A7EC8" w:rsidRDefault="008A7EC8">
      <w:pPr>
        <w:rPr>
          <w:rFonts w:cs="Arial"/>
          <w:bCs/>
        </w:rPr>
      </w:pPr>
    </w:p>
    <w:p w:rsidR="008A7EC8" w:rsidRDefault="008A7EC8">
      <w:pPr>
        <w:rPr>
          <w:rFonts w:cs="Arial"/>
          <w:bCs/>
        </w:rPr>
      </w:pPr>
      <w:r>
        <w:rPr>
          <w:rFonts w:cs="Arial"/>
          <w:bCs/>
        </w:rPr>
        <w:t>Example 3</w:t>
      </w:r>
    </w:p>
    <w:p w:rsidR="008A7EC8" w:rsidRDefault="008A7EC8" w:rsidP="008A7EC8">
      <w:pPr>
        <w:rPr>
          <w:rFonts w:cs="Arial"/>
          <w:bCs/>
        </w:rPr>
      </w:pPr>
      <w:r>
        <w:rPr>
          <w:rFonts w:cs="Arial"/>
          <w:bCs/>
        </w:rPr>
        <w:t>A leaseholder with a major works invoice of £3,500 has no other assets or savings but has a disposable income of £</w:t>
      </w:r>
      <w:r w:rsidR="005A58DD">
        <w:rPr>
          <w:rFonts w:cs="Arial"/>
          <w:bCs/>
        </w:rPr>
        <w:t>60</w:t>
      </w:r>
      <w:r>
        <w:rPr>
          <w:rFonts w:cs="Arial"/>
          <w:bCs/>
        </w:rPr>
        <w:t xml:space="preserve"> per month. </w:t>
      </w:r>
      <w:r w:rsidR="005A58DD">
        <w:rPr>
          <w:rFonts w:cs="Arial"/>
          <w:bCs/>
        </w:rPr>
        <w:t>His applicable disposable income would be £36.00 per month that he would be expected to use for a loan. He does not have sufficient available funds to use the 3 year interest free loan option or the 5 year option. He</w:t>
      </w:r>
      <w:r w:rsidR="008E6AD1">
        <w:rPr>
          <w:rFonts w:cs="Arial"/>
          <w:bCs/>
        </w:rPr>
        <w:t xml:space="preserve"> </w:t>
      </w:r>
      <w:r>
        <w:rPr>
          <w:rFonts w:cs="Arial"/>
          <w:bCs/>
        </w:rPr>
        <w:t xml:space="preserve">will be entitled to a 10 year loan with interest. The monthly payment will be £34.77. </w:t>
      </w:r>
      <w:proofErr w:type="gramStart"/>
      <w:r>
        <w:rPr>
          <w:rFonts w:cs="Arial"/>
          <w:bCs/>
        </w:rPr>
        <w:t>The total interest payable being £672.91</w:t>
      </w:r>
      <w:r w:rsidR="00707245">
        <w:rPr>
          <w:rFonts w:cs="Arial"/>
          <w:bCs/>
        </w:rPr>
        <w:t xml:space="preserve"> </w:t>
      </w:r>
      <w:r>
        <w:rPr>
          <w:rFonts w:cs="Arial"/>
          <w:bCs/>
        </w:rPr>
        <w:t>over the whole period.</w:t>
      </w:r>
      <w:proofErr w:type="gramEnd"/>
      <w:r>
        <w:rPr>
          <w:rFonts w:cs="Arial"/>
          <w:bCs/>
        </w:rPr>
        <w:t xml:space="preserve"> </w:t>
      </w:r>
      <w:r w:rsidR="005A58DD">
        <w:rPr>
          <w:rFonts w:cs="Arial"/>
          <w:bCs/>
        </w:rPr>
        <w:t>After the loan repayments, he would be left with a new monthly disposable income of £25.23.</w:t>
      </w:r>
    </w:p>
    <w:p w:rsidR="008A7EC8" w:rsidRDefault="008A7EC8">
      <w:pPr>
        <w:rPr>
          <w:rFonts w:cs="Arial"/>
          <w:b/>
          <w:bCs/>
        </w:rPr>
      </w:pPr>
    </w:p>
    <w:p w:rsidR="008A7EC8" w:rsidRDefault="008A7EC8">
      <w:pPr>
        <w:rPr>
          <w:rFonts w:cs="Arial"/>
          <w:bCs/>
        </w:rPr>
      </w:pPr>
      <w:r w:rsidRPr="008A7EC8">
        <w:rPr>
          <w:rFonts w:cs="Arial"/>
          <w:bCs/>
        </w:rPr>
        <w:t>Example 4</w:t>
      </w:r>
    </w:p>
    <w:p w:rsidR="00707245" w:rsidRDefault="008A7EC8" w:rsidP="00707245">
      <w:pPr>
        <w:rPr>
          <w:rFonts w:cs="Arial"/>
          <w:bCs/>
        </w:rPr>
      </w:pPr>
      <w:r>
        <w:rPr>
          <w:rFonts w:cs="Arial"/>
          <w:bCs/>
        </w:rPr>
        <w:t>A leaseholder with a major works invoice of £</w:t>
      </w:r>
      <w:r w:rsidR="005A58DD">
        <w:rPr>
          <w:rFonts w:cs="Arial"/>
          <w:bCs/>
        </w:rPr>
        <w:t>6,000</w:t>
      </w:r>
      <w:r>
        <w:rPr>
          <w:rFonts w:cs="Arial"/>
          <w:bCs/>
        </w:rPr>
        <w:t xml:space="preserve"> has £</w:t>
      </w:r>
      <w:r w:rsidR="005A58DD">
        <w:rPr>
          <w:rFonts w:cs="Arial"/>
          <w:bCs/>
        </w:rPr>
        <w:t>5</w:t>
      </w:r>
      <w:r>
        <w:rPr>
          <w:rFonts w:cs="Arial"/>
          <w:bCs/>
        </w:rPr>
        <w:t>,000 in savings and a disposable income of £</w:t>
      </w:r>
      <w:r w:rsidR="005A58DD">
        <w:rPr>
          <w:rFonts w:cs="Arial"/>
          <w:bCs/>
        </w:rPr>
        <w:t>1</w:t>
      </w:r>
      <w:r w:rsidR="00707245">
        <w:rPr>
          <w:rFonts w:cs="Arial"/>
          <w:bCs/>
        </w:rPr>
        <w:t>2</w:t>
      </w:r>
      <w:r>
        <w:rPr>
          <w:rFonts w:cs="Arial"/>
          <w:bCs/>
        </w:rPr>
        <w:t xml:space="preserve">0 per month. </w:t>
      </w:r>
      <w:r w:rsidR="00707245">
        <w:rPr>
          <w:rFonts w:cs="Arial"/>
          <w:bCs/>
        </w:rPr>
        <w:t>He</w:t>
      </w:r>
      <w:r w:rsidR="005A58DD">
        <w:rPr>
          <w:rFonts w:cs="Arial"/>
          <w:bCs/>
        </w:rPr>
        <w:t xml:space="preserve"> would be expected to contribute</w:t>
      </w:r>
      <w:r w:rsidR="00B3696C">
        <w:rPr>
          <w:rFonts w:cs="Arial"/>
          <w:bCs/>
        </w:rPr>
        <w:t xml:space="preserve"> a reasonable proportion of</w:t>
      </w:r>
      <w:r w:rsidR="005A58DD">
        <w:rPr>
          <w:rFonts w:cs="Arial"/>
          <w:bCs/>
        </w:rPr>
        <w:t xml:space="preserve"> </w:t>
      </w:r>
      <w:r w:rsidR="00707245">
        <w:rPr>
          <w:rFonts w:cs="Arial"/>
          <w:bCs/>
        </w:rPr>
        <w:t>his</w:t>
      </w:r>
      <w:r w:rsidR="005A58DD">
        <w:rPr>
          <w:rFonts w:cs="Arial"/>
          <w:bCs/>
        </w:rPr>
        <w:t xml:space="preserve"> savings</w:t>
      </w:r>
      <w:r w:rsidR="00B3696C">
        <w:rPr>
          <w:rFonts w:cs="Arial"/>
          <w:bCs/>
        </w:rPr>
        <w:t xml:space="preserve"> say £3,200</w:t>
      </w:r>
      <w:r w:rsidR="005A58DD">
        <w:rPr>
          <w:rFonts w:cs="Arial"/>
          <w:bCs/>
        </w:rPr>
        <w:t xml:space="preserve"> and would then be entitled to a </w:t>
      </w:r>
      <w:r w:rsidR="00707245">
        <w:rPr>
          <w:rFonts w:cs="Arial"/>
          <w:bCs/>
        </w:rPr>
        <w:t>3 year interest free loan on the outstanding £2,800. His applicable disposable income would be £80.00 per month that he would be expected to use for a loan. Repayments will be made at £77.78 per month. After the loan repayments, he would be left with a new monthly disposable income of £42.22.</w:t>
      </w:r>
    </w:p>
    <w:p w:rsidR="008A7EC8" w:rsidRDefault="008A7EC8" w:rsidP="008A7EC8">
      <w:pPr>
        <w:rPr>
          <w:rFonts w:cs="Arial"/>
          <w:bCs/>
        </w:rPr>
      </w:pPr>
    </w:p>
    <w:p w:rsidR="008A7EC8" w:rsidRDefault="008A7EC8" w:rsidP="008A7EC8">
      <w:pPr>
        <w:rPr>
          <w:rFonts w:cs="Arial"/>
          <w:bCs/>
        </w:rPr>
      </w:pPr>
      <w:r>
        <w:rPr>
          <w:rFonts w:cs="Arial"/>
          <w:bCs/>
        </w:rPr>
        <w:t>Example 5</w:t>
      </w:r>
    </w:p>
    <w:p w:rsidR="00AA203D" w:rsidRDefault="00AA203D" w:rsidP="00AA203D">
      <w:pPr>
        <w:rPr>
          <w:rFonts w:cs="Arial"/>
          <w:bCs/>
        </w:rPr>
      </w:pPr>
      <w:r>
        <w:rPr>
          <w:rFonts w:cs="Arial"/>
          <w:bCs/>
        </w:rPr>
        <w:t>A leaseholder with a major works invoice of £35,000 has another property with £</w:t>
      </w:r>
      <w:r w:rsidR="00707245">
        <w:rPr>
          <w:rFonts w:cs="Arial"/>
          <w:bCs/>
        </w:rPr>
        <w:t>4</w:t>
      </w:r>
      <w:r w:rsidR="00B13674">
        <w:rPr>
          <w:rFonts w:cs="Arial"/>
          <w:bCs/>
        </w:rPr>
        <w:t>0</w:t>
      </w:r>
      <w:r>
        <w:rPr>
          <w:rFonts w:cs="Arial"/>
          <w:bCs/>
        </w:rPr>
        <w:t>,000 of equity</w:t>
      </w:r>
      <w:r w:rsidR="008E6AD1">
        <w:rPr>
          <w:rFonts w:cs="Arial"/>
          <w:bCs/>
        </w:rPr>
        <w:t xml:space="preserve">. He </w:t>
      </w:r>
      <w:r>
        <w:rPr>
          <w:rFonts w:cs="Arial"/>
          <w:bCs/>
        </w:rPr>
        <w:t xml:space="preserve">has no other assets or savings </w:t>
      </w:r>
      <w:r w:rsidR="00707245">
        <w:rPr>
          <w:rFonts w:cs="Arial"/>
          <w:bCs/>
        </w:rPr>
        <w:t xml:space="preserve">and no </w:t>
      </w:r>
      <w:r>
        <w:rPr>
          <w:rFonts w:cs="Arial"/>
          <w:bCs/>
        </w:rPr>
        <w:t xml:space="preserve">disposable income. </w:t>
      </w:r>
      <w:r w:rsidR="00707245">
        <w:rPr>
          <w:rFonts w:cs="Arial"/>
          <w:bCs/>
        </w:rPr>
        <w:t>He</w:t>
      </w:r>
      <w:r>
        <w:rPr>
          <w:rFonts w:cs="Arial"/>
          <w:bCs/>
        </w:rPr>
        <w:t xml:space="preserve"> would be expected to sell</w:t>
      </w:r>
      <w:r w:rsidR="00707245">
        <w:rPr>
          <w:rFonts w:cs="Arial"/>
          <w:bCs/>
        </w:rPr>
        <w:t xml:space="preserve"> the property elsewhere and use</w:t>
      </w:r>
      <w:r>
        <w:rPr>
          <w:rFonts w:cs="Arial"/>
          <w:bCs/>
        </w:rPr>
        <w:t xml:space="preserve"> the released equity to </w:t>
      </w:r>
      <w:r w:rsidR="00707245">
        <w:rPr>
          <w:rFonts w:cs="Arial"/>
          <w:bCs/>
        </w:rPr>
        <w:t>pay</w:t>
      </w:r>
      <w:r>
        <w:rPr>
          <w:rFonts w:cs="Arial"/>
          <w:bCs/>
        </w:rPr>
        <w:t xml:space="preserve"> the outstanding invoice</w:t>
      </w:r>
      <w:r w:rsidR="00707245">
        <w:rPr>
          <w:rFonts w:cs="Arial"/>
          <w:bCs/>
        </w:rPr>
        <w:t>.</w:t>
      </w:r>
      <w:r>
        <w:rPr>
          <w:rFonts w:cs="Arial"/>
          <w:bCs/>
        </w:rPr>
        <w:t xml:space="preserve"> </w:t>
      </w:r>
    </w:p>
    <w:p w:rsidR="00AA203D" w:rsidRDefault="00AA203D" w:rsidP="00AA203D">
      <w:pPr>
        <w:rPr>
          <w:rFonts w:cs="Arial"/>
          <w:bCs/>
        </w:rPr>
      </w:pPr>
    </w:p>
    <w:p w:rsidR="008E6AD1" w:rsidRDefault="008E6AD1" w:rsidP="00AA203D">
      <w:pPr>
        <w:rPr>
          <w:rFonts w:cs="Arial"/>
          <w:bCs/>
        </w:rPr>
      </w:pPr>
    </w:p>
    <w:p w:rsidR="00AA203D" w:rsidRDefault="00AA203D" w:rsidP="00AA203D">
      <w:pPr>
        <w:rPr>
          <w:rFonts w:cs="Arial"/>
          <w:bCs/>
        </w:rPr>
      </w:pPr>
      <w:r>
        <w:rPr>
          <w:rFonts w:cs="Arial"/>
          <w:bCs/>
        </w:rPr>
        <w:t>Example 6</w:t>
      </w:r>
    </w:p>
    <w:p w:rsidR="00AA203D" w:rsidRDefault="00AA203D" w:rsidP="00AA203D">
      <w:pPr>
        <w:rPr>
          <w:rFonts w:cs="Arial"/>
          <w:bCs/>
        </w:rPr>
      </w:pPr>
      <w:r>
        <w:rPr>
          <w:rFonts w:cs="Arial"/>
          <w:bCs/>
        </w:rPr>
        <w:t xml:space="preserve">A leaseholder with a major works invoice of £3,500 is on a low income with a disposable income of only £2.50 per month. </w:t>
      </w:r>
      <w:r w:rsidR="008E6AD1">
        <w:rPr>
          <w:rFonts w:cs="Arial"/>
          <w:bCs/>
        </w:rPr>
        <w:t>He has</w:t>
      </w:r>
      <w:r>
        <w:rPr>
          <w:rFonts w:cs="Arial"/>
          <w:bCs/>
        </w:rPr>
        <w:t xml:space="preserve"> no assets or savings. </w:t>
      </w:r>
      <w:r w:rsidR="008E6AD1">
        <w:rPr>
          <w:rFonts w:cs="Arial"/>
          <w:bCs/>
        </w:rPr>
        <w:t>He</w:t>
      </w:r>
      <w:r>
        <w:rPr>
          <w:rFonts w:cs="Arial"/>
          <w:bCs/>
        </w:rPr>
        <w:t xml:space="preserve"> would not be entitled to loan and at £2.50 per month, it would take over 10</w:t>
      </w:r>
      <w:r w:rsidR="00707245">
        <w:rPr>
          <w:rFonts w:cs="Arial"/>
          <w:bCs/>
        </w:rPr>
        <w:t>0 years for</w:t>
      </w:r>
      <w:r w:rsidR="008E6AD1">
        <w:rPr>
          <w:rFonts w:cs="Arial"/>
          <w:bCs/>
        </w:rPr>
        <w:t xml:space="preserve"> him</w:t>
      </w:r>
      <w:r w:rsidR="00707245">
        <w:rPr>
          <w:rFonts w:cs="Arial"/>
          <w:bCs/>
        </w:rPr>
        <w:t xml:space="preserve"> to repay. There is no prospect of realistic repayment unles</w:t>
      </w:r>
      <w:r w:rsidR="008E6AD1">
        <w:rPr>
          <w:rFonts w:cs="Arial"/>
          <w:bCs/>
        </w:rPr>
        <w:t>s</w:t>
      </w:r>
      <w:r w:rsidR="00707245">
        <w:rPr>
          <w:rFonts w:cs="Arial"/>
          <w:bCs/>
        </w:rPr>
        <w:t xml:space="preserve"> circumstances change. In this situation, </w:t>
      </w:r>
      <w:r>
        <w:rPr>
          <w:rFonts w:cs="Arial"/>
          <w:bCs/>
        </w:rPr>
        <w:t>a charge</w:t>
      </w:r>
      <w:r w:rsidR="008E6AD1">
        <w:rPr>
          <w:rFonts w:cs="Arial"/>
          <w:bCs/>
        </w:rPr>
        <w:t xml:space="preserve"> would be</w:t>
      </w:r>
      <w:r>
        <w:rPr>
          <w:rFonts w:cs="Arial"/>
          <w:bCs/>
        </w:rPr>
        <w:t xml:space="preserve"> placed on the property, based on the invoice total as a percentage of the current property value. </w:t>
      </w:r>
    </w:p>
    <w:p w:rsidR="008A7EC8" w:rsidRDefault="008A7EC8" w:rsidP="008A7EC8">
      <w:pPr>
        <w:rPr>
          <w:rFonts w:cs="Arial"/>
          <w:bCs/>
        </w:rPr>
      </w:pPr>
    </w:p>
    <w:p w:rsidR="008C6ACB" w:rsidRPr="008C6ACB" w:rsidRDefault="008C6ACB">
      <w:pPr>
        <w:rPr>
          <w:rFonts w:cs="Arial"/>
          <w:bCs/>
          <w:i/>
        </w:rPr>
      </w:pPr>
      <w:r w:rsidRPr="008C6ACB">
        <w:rPr>
          <w:rFonts w:cs="Arial"/>
          <w:bCs/>
          <w:i/>
        </w:rPr>
        <w:t>Examples use an assumed interest of 3.6% for demonstration purposes only.</w:t>
      </w:r>
    </w:p>
    <w:p w:rsidR="008C6ACB" w:rsidRDefault="008C6ACB">
      <w:pPr>
        <w:rPr>
          <w:rFonts w:cs="Arial"/>
          <w:bCs/>
          <w:i/>
        </w:rPr>
      </w:pPr>
    </w:p>
    <w:p w:rsidR="0085746F" w:rsidRPr="008A7EC8" w:rsidRDefault="008C6ACB">
      <w:pPr>
        <w:rPr>
          <w:rFonts w:cs="Arial"/>
          <w:bCs/>
        </w:rPr>
      </w:pPr>
      <w:r w:rsidRPr="008C6ACB">
        <w:rPr>
          <w:rFonts w:cs="Arial"/>
          <w:bCs/>
          <w:i/>
        </w:rPr>
        <w:t>Disposable income is calculated as per CAB guidance.</w:t>
      </w:r>
      <w:r w:rsidR="0085746F" w:rsidRPr="008A7EC8">
        <w:rPr>
          <w:rFonts w:cs="Arial"/>
          <w:bCs/>
        </w:rPr>
        <w:br w:type="page"/>
      </w:r>
    </w:p>
    <w:p w:rsidR="0085746F" w:rsidRDefault="0085746F" w:rsidP="0085746F">
      <w:pPr>
        <w:tabs>
          <w:tab w:val="left" w:pos="7535"/>
        </w:tabs>
        <w:rPr>
          <w:b/>
        </w:rPr>
      </w:pPr>
      <w:r>
        <w:rPr>
          <w:b/>
        </w:rPr>
        <w:lastRenderedPageBreak/>
        <w:t xml:space="preserve">Appendix </w:t>
      </w:r>
      <w:r w:rsidR="003B47D7">
        <w:rPr>
          <w:b/>
        </w:rPr>
        <w:t>4</w:t>
      </w:r>
      <w:r>
        <w:rPr>
          <w:b/>
        </w:rPr>
        <w:t xml:space="preserve"> – Initial Equality Impact Assessment</w:t>
      </w:r>
    </w:p>
    <w:p w:rsidR="0085746F" w:rsidRDefault="0085746F" w:rsidP="0085746F">
      <w:pPr>
        <w:tabs>
          <w:tab w:val="left" w:pos="7535"/>
        </w:tabs>
        <w:rPr>
          <w:b/>
        </w:rPr>
      </w:pPr>
    </w:p>
    <w:p w:rsidR="0085746F" w:rsidRDefault="0085746F" w:rsidP="0085746F">
      <w:pPr>
        <w:rPr>
          <w:rFonts w:cs="Arial"/>
          <w:b/>
        </w:rPr>
      </w:pPr>
    </w:p>
    <w:p w:rsidR="0085746F" w:rsidRDefault="0085746F" w:rsidP="0085746F">
      <w:pPr>
        <w:numPr>
          <w:ilvl w:val="0"/>
          <w:numId w:val="4"/>
        </w:numPr>
        <w:autoSpaceDE w:val="0"/>
        <w:autoSpaceDN w:val="0"/>
        <w:adjustRightInd w:val="0"/>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85746F" w:rsidRDefault="0085746F" w:rsidP="0085746F">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color w:val="000000"/>
              </w:rPr>
            </w:pPr>
          </w:p>
          <w:p w:rsidR="0085746F" w:rsidRPr="00E05AA8" w:rsidRDefault="0085746F" w:rsidP="008570EA">
            <w:pPr>
              <w:autoSpaceDE w:val="0"/>
              <w:autoSpaceDN w:val="0"/>
              <w:adjustRightInd w:val="0"/>
              <w:rPr>
                <w:rFonts w:cs="Arial"/>
                <w:b/>
                <w:color w:val="000000"/>
              </w:rPr>
            </w:pPr>
            <w:r w:rsidRPr="00E05AA8">
              <w:rPr>
                <w:rFonts w:cs="Arial"/>
                <w:b/>
                <w:color w:val="000000"/>
              </w:rPr>
              <w:t xml:space="preserve">There are no groups of persons identified as being disadvantaged by the proposals. </w:t>
            </w:r>
          </w:p>
          <w:p w:rsidR="0085746F" w:rsidRPr="000108DF" w:rsidRDefault="0085746F" w:rsidP="008570EA">
            <w:pPr>
              <w:jc w:val="both"/>
              <w:rPr>
                <w:rFonts w:cs="Arial"/>
                <w:color w:val="000000"/>
              </w:rPr>
            </w:pPr>
          </w:p>
        </w:tc>
      </w:tr>
    </w:tbl>
    <w:p w:rsidR="0085746F" w:rsidRPr="00390482" w:rsidRDefault="0085746F" w:rsidP="0085746F">
      <w:pPr>
        <w:autoSpaceDE w:val="0"/>
        <w:autoSpaceDN w:val="0"/>
        <w:adjustRightInd w:val="0"/>
        <w:rPr>
          <w:rFonts w:cs="Arial"/>
          <w:color w:val="000000"/>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85746F" w:rsidRPr="00040397" w:rsidRDefault="0085746F" w:rsidP="0085746F">
      <w:pPr>
        <w:autoSpaceDE w:val="0"/>
        <w:autoSpaceDN w:val="0"/>
        <w:adjustRightInd w:val="0"/>
        <w:rPr>
          <w:rFonts w:cs="Arial"/>
          <w:bCs/>
          <w:lang w:eastAsia="en-GB"/>
        </w:rPr>
      </w:pPr>
    </w:p>
    <w:p w:rsidR="0085746F" w:rsidRDefault="0085746F" w:rsidP="0085746F">
      <w:pPr>
        <w:autoSpaceDE w:val="0"/>
        <w:autoSpaceDN w:val="0"/>
        <w:adjustRightInd w:val="0"/>
        <w:ind w:left="360"/>
        <w:rPr>
          <w:rFonts w:cs="Arial"/>
          <w:color w:val="000000"/>
        </w:rPr>
      </w:pPr>
      <w:r>
        <w:rPr>
          <w:rFonts w:cs="Arial"/>
          <w:color w:val="000000"/>
        </w:rPr>
        <w:t xml:space="preserve">      </w:t>
      </w:r>
      <w:r w:rsidRPr="00390482">
        <w:rPr>
          <w:rFonts w:cs="Arial"/>
          <w:color w:val="000000"/>
        </w:rPr>
        <w:t xml:space="preserve">Please provide further details of the </w:t>
      </w:r>
      <w:r>
        <w:rPr>
          <w:rFonts w:cs="Arial"/>
          <w:color w:val="000000"/>
        </w:rPr>
        <w:t xml:space="preserve">proposed actions, timetable for </w:t>
      </w:r>
    </w:p>
    <w:p w:rsidR="0085746F" w:rsidRDefault="0085746F" w:rsidP="0085746F">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making</w:t>
      </w:r>
      <w:proofErr w:type="gramEnd"/>
      <w:r w:rsidRPr="00390482">
        <w:rPr>
          <w:rFonts w:cs="Arial"/>
          <w:color w:val="000000"/>
        </w:rPr>
        <w:t xml:space="preserve"> the changes and the person(s) responsible for making the </w:t>
      </w:r>
    </w:p>
    <w:p w:rsidR="0085746F" w:rsidRPr="00040397" w:rsidRDefault="0085746F" w:rsidP="0085746F">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changes</w:t>
      </w:r>
      <w:proofErr w:type="gramEnd"/>
      <w:r w:rsidRPr="00390482">
        <w:rPr>
          <w:rFonts w:cs="Arial"/>
          <w:color w:val="000000"/>
        </w:rPr>
        <w:t xml:space="preserve"> on the resultant action plan</w:t>
      </w:r>
      <w:r>
        <w:rPr>
          <w:rFonts w:cs="Arial"/>
          <w:color w:val="000000"/>
        </w:rPr>
        <w:t xml:space="preserve"> </w:t>
      </w:r>
    </w:p>
    <w:p w:rsidR="0085746F" w:rsidRPr="00040397" w:rsidRDefault="0085746F" w:rsidP="0085746F">
      <w:pPr>
        <w:autoSpaceDE w:val="0"/>
        <w:autoSpaceDN w:val="0"/>
        <w:adjustRightInd w:val="0"/>
        <w:ind w:left="36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bCs/>
                <w:lang w:eastAsia="en-GB"/>
              </w:rPr>
            </w:pPr>
          </w:p>
          <w:p w:rsidR="0085746F" w:rsidRPr="00E05AA8" w:rsidRDefault="0085746F" w:rsidP="008570EA">
            <w:pPr>
              <w:autoSpaceDE w:val="0"/>
              <w:autoSpaceDN w:val="0"/>
              <w:adjustRightInd w:val="0"/>
              <w:rPr>
                <w:rFonts w:cs="Arial"/>
                <w:b/>
                <w:bCs/>
                <w:lang w:eastAsia="en-GB"/>
              </w:rPr>
            </w:pPr>
            <w:r w:rsidRPr="00E05AA8">
              <w:rPr>
                <w:rFonts w:cs="Arial"/>
                <w:b/>
                <w:bCs/>
                <w:lang w:eastAsia="en-GB"/>
              </w:rPr>
              <w:t>No changes are required, as there are no equality impacts.</w:t>
            </w:r>
          </w:p>
          <w:p w:rsidR="0085746F" w:rsidRPr="000108DF" w:rsidRDefault="0085746F" w:rsidP="008570EA">
            <w:pPr>
              <w:autoSpaceDE w:val="0"/>
              <w:autoSpaceDN w:val="0"/>
              <w:adjustRightInd w:val="0"/>
              <w:spacing w:after="46"/>
              <w:ind w:left="360"/>
              <w:rPr>
                <w:rFonts w:cs="Arial"/>
                <w:bCs/>
                <w:lang w:eastAsia="en-GB"/>
              </w:rPr>
            </w:pPr>
          </w:p>
        </w:tc>
      </w:tr>
    </w:tbl>
    <w:p w:rsidR="0085746F" w:rsidRPr="00390482" w:rsidRDefault="0085746F" w:rsidP="0085746F">
      <w:pPr>
        <w:autoSpaceDE w:val="0"/>
        <w:autoSpaceDN w:val="0"/>
        <w:adjustRightInd w:val="0"/>
        <w:rPr>
          <w:rFonts w:cs="Arial"/>
          <w:bCs/>
          <w:lang w:eastAsia="en-GB"/>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85746F" w:rsidRDefault="0085746F" w:rsidP="0085746F">
      <w:pPr>
        <w:autoSpaceDE w:val="0"/>
        <w:autoSpaceDN w:val="0"/>
        <w:adjustRightInd w:val="0"/>
        <w:rPr>
          <w:rFonts w:cs="Arial"/>
          <w:bCs/>
          <w:lang w:eastAsia="en-GB"/>
        </w:rPr>
      </w:pPr>
    </w:p>
    <w:p w:rsidR="0085746F" w:rsidRDefault="0085746F" w:rsidP="0085746F">
      <w:pPr>
        <w:autoSpaceDE w:val="0"/>
        <w:autoSpaceDN w:val="0"/>
        <w:adjustRightInd w:val="0"/>
        <w:rPr>
          <w:rFonts w:cs="Arial"/>
        </w:rPr>
      </w:pPr>
      <w:r>
        <w:rPr>
          <w:rFonts w:cs="Arial"/>
          <w:bCs/>
          <w:lang w:eastAsia="en-GB"/>
        </w:rPr>
        <w:t xml:space="preserve">           </w:t>
      </w:r>
      <w:r w:rsidRPr="00390482">
        <w:rPr>
          <w:rFonts w:cs="Arial"/>
        </w:rPr>
        <w:t>Please note that you are require</w:t>
      </w:r>
      <w:r>
        <w:rPr>
          <w:rFonts w:cs="Arial"/>
        </w:rPr>
        <w:t xml:space="preserve">d to involve disabled people in  </w:t>
      </w:r>
    </w:p>
    <w:p w:rsidR="0085746F" w:rsidRPr="00040397" w:rsidRDefault="0085746F" w:rsidP="0085746F">
      <w:pPr>
        <w:autoSpaceDE w:val="0"/>
        <w:autoSpaceDN w:val="0"/>
        <w:adjustRightInd w:val="0"/>
        <w:rPr>
          <w:rFonts w:cs="Arial"/>
        </w:rPr>
      </w:pPr>
      <w:r>
        <w:rPr>
          <w:rFonts w:cs="Arial"/>
        </w:rPr>
        <w:t xml:space="preserve">           </w:t>
      </w:r>
      <w:proofErr w:type="gramStart"/>
      <w:r w:rsidRPr="00390482">
        <w:rPr>
          <w:rFonts w:cs="Arial"/>
        </w:rPr>
        <w:t>decisions</w:t>
      </w:r>
      <w:proofErr w:type="gramEnd"/>
      <w:r w:rsidRPr="00390482">
        <w:rPr>
          <w:rFonts w:cs="Arial"/>
        </w:rPr>
        <w:t xml:space="preserve"> that impact on them</w:t>
      </w:r>
    </w:p>
    <w:p w:rsidR="0085746F" w:rsidRDefault="0085746F" w:rsidP="0085746F">
      <w:pPr>
        <w:autoSpaceDE w:val="0"/>
        <w:autoSpaceDN w:val="0"/>
        <w:adjustRightInd w:val="0"/>
        <w:rPr>
          <w:rFonts w:cs="Arial"/>
        </w:rPr>
      </w:pPr>
      <w:r>
        <w:rPr>
          <w:rFonts w:cs="Arial"/>
        </w:rPr>
        <w:t xml:space="preserve">  </w:t>
      </w:r>
    </w:p>
    <w:p w:rsidR="0085746F" w:rsidRDefault="0085746F" w:rsidP="0085746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rPr>
            </w:pPr>
          </w:p>
          <w:p w:rsidR="0085746F" w:rsidRPr="00E05AA8" w:rsidRDefault="0085746F" w:rsidP="008570EA">
            <w:pPr>
              <w:autoSpaceDE w:val="0"/>
              <w:autoSpaceDN w:val="0"/>
              <w:adjustRightInd w:val="0"/>
              <w:rPr>
                <w:rFonts w:cs="Arial"/>
                <w:b/>
              </w:rPr>
            </w:pPr>
            <w:r>
              <w:rPr>
                <w:rFonts w:cs="Arial"/>
                <w:b/>
              </w:rPr>
              <w:t>There is no requirement for external consultation on this issue</w:t>
            </w:r>
            <w:r w:rsidRPr="00E05AA8">
              <w:rPr>
                <w:rFonts w:cs="Arial"/>
                <w:b/>
              </w:rPr>
              <w:t xml:space="preserve">. There are no equality impacts arising. </w:t>
            </w:r>
          </w:p>
          <w:p w:rsidR="0085746F" w:rsidRPr="000108DF" w:rsidRDefault="0085746F" w:rsidP="008570EA">
            <w:pPr>
              <w:autoSpaceDE w:val="0"/>
              <w:autoSpaceDN w:val="0"/>
              <w:adjustRightInd w:val="0"/>
              <w:rPr>
                <w:rFonts w:cs="Arial"/>
              </w:rPr>
            </w:pPr>
          </w:p>
        </w:tc>
      </w:tr>
    </w:tbl>
    <w:p w:rsidR="0085746F" w:rsidRPr="00390482" w:rsidRDefault="0085746F" w:rsidP="0085746F">
      <w:pPr>
        <w:autoSpaceDE w:val="0"/>
        <w:autoSpaceDN w:val="0"/>
        <w:adjustRightInd w:val="0"/>
        <w:rPr>
          <w:rFonts w:cs="Arial"/>
          <w:bCs/>
          <w:lang w:eastAsia="en-GB"/>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85746F" w:rsidRDefault="0085746F" w:rsidP="0085746F">
      <w:pPr>
        <w:autoSpaceDE w:val="0"/>
        <w:autoSpaceDN w:val="0"/>
        <w:adjustRightInd w:val="0"/>
        <w:ind w:left="720"/>
        <w:rPr>
          <w:rFonts w:cs="Arial"/>
          <w:bCs/>
          <w:lang w:eastAsia="en-GB"/>
        </w:rPr>
      </w:pPr>
    </w:p>
    <w:p w:rsidR="0085746F" w:rsidRPr="00D70EAD" w:rsidRDefault="0085746F" w:rsidP="0085746F">
      <w:pPr>
        <w:autoSpaceDE w:val="0"/>
        <w:autoSpaceDN w:val="0"/>
        <w:adjustRightInd w:val="0"/>
        <w:ind w:left="360"/>
        <w:rPr>
          <w:rFonts w:cs="Arial"/>
          <w:bCs/>
          <w:lang w:eastAsia="en-GB"/>
        </w:rPr>
      </w:pPr>
      <w:r>
        <w:rPr>
          <w:rFonts w:cs="Arial"/>
          <w:bCs/>
          <w:lang w:eastAsia="en-GB"/>
        </w:rPr>
        <w:t xml:space="preserve">      </w:t>
      </w:r>
      <w:r w:rsidRPr="00390482">
        <w:rPr>
          <w:rFonts w:cs="Arial"/>
        </w:rPr>
        <w:t>Please set out the basis on which you justify making no adjustments</w:t>
      </w:r>
    </w:p>
    <w:p w:rsidR="0085746F" w:rsidRDefault="0085746F" w:rsidP="0085746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bCs/>
                <w:lang w:eastAsia="en-GB"/>
              </w:rPr>
            </w:pPr>
          </w:p>
          <w:p w:rsidR="0085746F" w:rsidRPr="00E05AA8" w:rsidRDefault="0085746F" w:rsidP="008570EA">
            <w:pPr>
              <w:autoSpaceDE w:val="0"/>
              <w:autoSpaceDN w:val="0"/>
              <w:adjustRightInd w:val="0"/>
              <w:rPr>
                <w:rFonts w:cs="Arial"/>
                <w:b/>
                <w:bCs/>
                <w:lang w:eastAsia="en-GB"/>
              </w:rPr>
            </w:pPr>
            <w:r w:rsidRPr="00E05AA8">
              <w:rPr>
                <w:rFonts w:cs="Arial"/>
                <w:b/>
                <w:bCs/>
                <w:lang w:eastAsia="en-GB"/>
              </w:rPr>
              <w:t>Not applicable</w:t>
            </w:r>
          </w:p>
          <w:p w:rsidR="0085746F" w:rsidRPr="000108DF" w:rsidRDefault="0085746F" w:rsidP="008570EA">
            <w:pPr>
              <w:autoSpaceDE w:val="0"/>
              <w:autoSpaceDN w:val="0"/>
              <w:adjustRightInd w:val="0"/>
              <w:rPr>
                <w:rFonts w:cs="Arial"/>
                <w:bCs/>
                <w:lang w:eastAsia="en-GB"/>
              </w:rPr>
            </w:pPr>
          </w:p>
        </w:tc>
      </w:tr>
    </w:tbl>
    <w:p w:rsidR="0085746F" w:rsidRPr="00390482" w:rsidRDefault="0085746F" w:rsidP="0085746F">
      <w:pPr>
        <w:autoSpaceDE w:val="0"/>
        <w:autoSpaceDN w:val="0"/>
        <w:adjustRightInd w:val="0"/>
        <w:rPr>
          <w:rFonts w:cs="Arial"/>
          <w:bCs/>
          <w:lang w:eastAsia="en-GB"/>
        </w:rPr>
      </w:pPr>
    </w:p>
    <w:p w:rsidR="0085746F" w:rsidRDefault="0085746F" w:rsidP="0085746F">
      <w:pPr>
        <w:pStyle w:val="Normal2"/>
        <w:numPr>
          <w:ilvl w:val="0"/>
          <w:numId w:val="4"/>
        </w:numPr>
      </w:pPr>
      <w:r w:rsidRPr="00390482">
        <w:t xml:space="preserve">You are legally required to monitor and review the proposed changes after implementation to check they work as planned and to screen for unexpected equality impacts. </w:t>
      </w:r>
    </w:p>
    <w:p w:rsidR="0085746F" w:rsidRDefault="0085746F" w:rsidP="0085746F">
      <w:pPr>
        <w:pStyle w:val="Normal2"/>
      </w:pPr>
    </w:p>
    <w:p w:rsidR="0085746F" w:rsidRDefault="0085746F" w:rsidP="0085746F">
      <w:pPr>
        <w:pStyle w:val="Normal2"/>
        <w:ind w:left="360"/>
      </w:pPr>
      <w:r>
        <w:t xml:space="preserve">      </w:t>
      </w:r>
      <w:r w:rsidRPr="00390482">
        <w:t xml:space="preserve">Please provide details of how you will monitor/evaluate or review your </w:t>
      </w:r>
    </w:p>
    <w:p w:rsidR="0085746F" w:rsidRDefault="0085746F" w:rsidP="0085746F">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85746F" w:rsidRPr="00040397" w:rsidRDefault="0085746F" w:rsidP="0085746F">
      <w:pPr>
        <w:rPr>
          <w:lang w:eastAsia="en-GB"/>
        </w:rPr>
      </w:pPr>
    </w:p>
    <w:p w:rsidR="0085746F" w:rsidRDefault="0085746F" w:rsidP="0085746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Tr="008570EA">
        <w:tc>
          <w:tcPr>
            <w:tcW w:w="8522" w:type="dxa"/>
            <w:shd w:val="clear" w:color="auto" w:fill="auto"/>
          </w:tcPr>
          <w:p w:rsidR="0085746F" w:rsidRPr="00CA2FF2" w:rsidRDefault="0085746F" w:rsidP="008570EA">
            <w:pPr>
              <w:autoSpaceDE w:val="0"/>
              <w:autoSpaceDN w:val="0"/>
              <w:adjustRightInd w:val="0"/>
              <w:rPr>
                <w:rFonts w:cs="Arial"/>
                <w:b/>
                <w:bCs/>
                <w:lang w:eastAsia="en-GB"/>
              </w:rPr>
            </w:pPr>
            <w:r>
              <w:rPr>
                <w:rFonts w:cs="Arial"/>
                <w:b/>
                <w:bCs/>
                <w:lang w:eastAsia="en-GB"/>
              </w:rPr>
              <w:t>Not applicable</w:t>
            </w:r>
          </w:p>
          <w:p w:rsidR="0085746F" w:rsidRDefault="0085746F" w:rsidP="008570EA">
            <w:pPr>
              <w:rPr>
                <w:lang w:eastAsia="en-GB"/>
              </w:rPr>
            </w:pPr>
          </w:p>
        </w:tc>
      </w:tr>
    </w:tbl>
    <w:p w:rsidR="0085746F" w:rsidRPr="00D70EAD" w:rsidRDefault="0085746F" w:rsidP="0085746F">
      <w:pPr>
        <w:rPr>
          <w:lang w:eastAsia="en-GB"/>
        </w:rPr>
      </w:pPr>
    </w:p>
    <w:p w:rsidR="0085746F" w:rsidRPr="00390482" w:rsidRDefault="0085746F" w:rsidP="0085746F">
      <w:pPr>
        <w:ind w:left="360"/>
        <w:rPr>
          <w:lang w:eastAsia="en-GB"/>
        </w:rPr>
      </w:pPr>
    </w:p>
    <w:p w:rsidR="0085746F" w:rsidRDefault="0085746F" w:rsidP="0085746F">
      <w:pPr>
        <w:rPr>
          <w:rFonts w:cs="Arial"/>
        </w:rPr>
      </w:pPr>
      <w:r>
        <w:rPr>
          <w:rFonts w:cs="Arial"/>
        </w:rPr>
        <w:t xml:space="preserve">Lead officer responsible for signing off the </w:t>
      </w:r>
      <w:proofErr w:type="spellStart"/>
      <w:r>
        <w:rPr>
          <w:rFonts w:cs="Arial"/>
        </w:rPr>
        <w:t>EqIA</w:t>
      </w:r>
      <w:proofErr w:type="spellEnd"/>
      <w:r>
        <w:rPr>
          <w:rFonts w:cs="Arial"/>
        </w:rPr>
        <w:t>:</w:t>
      </w:r>
    </w:p>
    <w:p w:rsidR="0085746F" w:rsidRDefault="0085746F" w:rsidP="0085746F">
      <w:pPr>
        <w:rPr>
          <w:rFonts w:cs="Arial"/>
        </w:rPr>
      </w:pPr>
    </w:p>
    <w:p w:rsidR="0085746F" w:rsidRDefault="0085746F" w:rsidP="0085746F">
      <w:pPr>
        <w:rPr>
          <w:rFonts w:cs="Arial"/>
        </w:rPr>
      </w:pPr>
      <w:r>
        <w:rPr>
          <w:rFonts w:cs="Arial"/>
        </w:rPr>
        <w:t>Role: Senior Management Accountant</w:t>
      </w:r>
    </w:p>
    <w:p w:rsidR="0085746F" w:rsidRDefault="0085746F" w:rsidP="0085746F">
      <w:pPr>
        <w:rPr>
          <w:rFonts w:cs="Arial"/>
        </w:rPr>
      </w:pPr>
    </w:p>
    <w:p w:rsidR="0085746F" w:rsidRDefault="0085746F" w:rsidP="0085746F">
      <w:pPr>
        <w:rPr>
          <w:rFonts w:cs="Arial"/>
        </w:rPr>
      </w:pPr>
      <w:r>
        <w:rPr>
          <w:rFonts w:cs="Arial"/>
        </w:rPr>
        <w:t>Date:   12/08/14</w:t>
      </w:r>
    </w:p>
    <w:p w:rsidR="0085746F" w:rsidRDefault="0085746F" w:rsidP="0085746F">
      <w:pPr>
        <w:rPr>
          <w:rFonts w:cs="Arial"/>
        </w:rPr>
      </w:pPr>
    </w:p>
    <w:p w:rsidR="0085746F" w:rsidRPr="00D70EAD" w:rsidRDefault="0085746F" w:rsidP="0085746F">
      <w:pPr>
        <w:rPr>
          <w:rFonts w:cs="Arial"/>
        </w:rPr>
      </w:pPr>
      <w:r>
        <w:rPr>
          <w:rFonts w:cs="Arial"/>
        </w:rPr>
        <w:t xml:space="preserve">    </w:t>
      </w:r>
    </w:p>
    <w:p w:rsidR="00E92C14" w:rsidRDefault="0085746F" w:rsidP="0085746F">
      <w:pPr>
        <w:sectPr w:rsidR="00E92C1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16" w:gutter="0"/>
          <w:cols w:space="708"/>
          <w:docGrid w:linePitch="360"/>
        </w:sectPr>
      </w:pPr>
      <w:r>
        <w:br w:type="page"/>
      </w:r>
    </w:p>
    <w:p w:rsidR="00F15F64" w:rsidRDefault="0085746F" w:rsidP="0085746F">
      <w:pPr>
        <w:rPr>
          <w:b/>
        </w:rPr>
      </w:pPr>
      <w:r>
        <w:rPr>
          <w:b/>
        </w:rPr>
        <w:lastRenderedPageBreak/>
        <w:t xml:space="preserve">Appendix </w:t>
      </w:r>
      <w:r w:rsidR="003B47D7">
        <w:rPr>
          <w:b/>
        </w:rPr>
        <w:t>5</w:t>
      </w:r>
      <w:r>
        <w:rPr>
          <w:b/>
        </w:rPr>
        <w:t xml:space="preserve"> – Risk </w:t>
      </w:r>
      <w:r w:rsidR="001C56C4">
        <w:rPr>
          <w:b/>
        </w:rPr>
        <w:t>Register</w:t>
      </w:r>
    </w:p>
    <w:p w:rsidR="00817B32" w:rsidRDefault="00817B32" w:rsidP="0085746F">
      <w:pPr>
        <w:rPr>
          <w:b/>
        </w:rPr>
      </w:pPr>
    </w:p>
    <w:p w:rsidR="00817B32" w:rsidRDefault="00E92C14" w:rsidP="0085746F">
      <w:pPr>
        <w:rPr>
          <w:b/>
        </w:rPr>
      </w:pPr>
      <w:r w:rsidRPr="00E92C14">
        <w:rPr>
          <w:b/>
          <w:noProof/>
          <w:lang w:eastAsia="en-GB"/>
        </w:rPr>
        <w:drawing>
          <wp:inline distT="0" distB="0" distL="0" distR="0" wp14:anchorId="5A4F345A" wp14:editId="2B98342B">
            <wp:extent cx="9471262" cy="2684518"/>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4137" t="39762" r="4181" b="27749"/>
                    <a:stretch/>
                  </pic:blipFill>
                  <pic:spPr bwMode="auto">
                    <a:xfrm>
                      <a:off x="0" y="0"/>
                      <a:ext cx="9471836" cy="2684681"/>
                    </a:xfrm>
                    <a:prstGeom prst="rect">
                      <a:avLst/>
                    </a:prstGeom>
                    <a:noFill/>
                    <a:ln>
                      <a:noFill/>
                    </a:ln>
                    <a:extLst/>
                  </pic:spPr>
                </pic:pic>
              </a:graphicData>
            </a:graphic>
          </wp:inline>
        </w:drawing>
      </w:r>
    </w:p>
    <w:p w:rsidR="0085746F" w:rsidRDefault="0085746F" w:rsidP="0085746F">
      <w:pPr>
        <w:rPr>
          <w:b/>
        </w:rPr>
      </w:pPr>
    </w:p>
    <w:p w:rsidR="0085746F" w:rsidRPr="0085746F" w:rsidRDefault="0085746F" w:rsidP="0085746F">
      <w:pPr>
        <w:rPr>
          <w:rFonts w:cs="Arial"/>
          <w:b/>
          <w:bCs/>
        </w:rPr>
      </w:pPr>
    </w:p>
    <w:sectPr w:rsidR="0085746F" w:rsidRPr="0085746F" w:rsidSect="00E92C14">
      <w:pgSz w:w="16838" w:h="11906" w:orient="landscape"/>
      <w:pgMar w:top="1800" w:right="1440" w:bottom="180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A1" w:rsidRDefault="008B22A1">
      <w:r>
        <w:separator/>
      </w:r>
    </w:p>
  </w:endnote>
  <w:endnote w:type="continuationSeparator" w:id="0">
    <w:p w:rsidR="008B22A1" w:rsidRDefault="008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A1" w:rsidRDefault="008B22A1">
      <w:r>
        <w:separator/>
      </w:r>
    </w:p>
  </w:footnote>
  <w:footnote w:type="continuationSeparator" w:id="0">
    <w:p w:rsidR="008B22A1" w:rsidRDefault="008B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A36D54"/>
    <w:multiLevelType w:val="hybridMultilevel"/>
    <w:tmpl w:val="0C8829C6"/>
    <w:lvl w:ilvl="0" w:tplc="49D286DC">
      <w:start w:val="1"/>
      <w:numFmt w:val="decimal"/>
      <w:lvlText w:val="7.%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50D8"/>
    <w:multiLevelType w:val="hybridMultilevel"/>
    <w:tmpl w:val="6C44F8EA"/>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112AD"/>
    <w:multiLevelType w:val="hybridMultilevel"/>
    <w:tmpl w:val="9B98BA9A"/>
    <w:lvl w:ilvl="0" w:tplc="D9D09968">
      <w:start w:val="1"/>
      <w:numFmt w:val="decimal"/>
      <w:lvlText w:val="1.%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346A3"/>
    <w:multiLevelType w:val="hybridMultilevel"/>
    <w:tmpl w:val="FF867944"/>
    <w:lvl w:ilvl="0" w:tplc="9CB2E53E">
      <w:start w:val="1"/>
      <w:numFmt w:val="decimal"/>
      <w:lvlText w:val="10.%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938BB"/>
    <w:multiLevelType w:val="hybridMultilevel"/>
    <w:tmpl w:val="DD5A7872"/>
    <w:lvl w:ilvl="0" w:tplc="D9089FB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13750"/>
    <w:multiLevelType w:val="hybridMultilevel"/>
    <w:tmpl w:val="E23476B2"/>
    <w:lvl w:ilvl="0" w:tplc="12B654C0">
      <w:start w:val="1"/>
      <w:numFmt w:val="decimal"/>
      <w:lvlText w:val="8.%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47DFF"/>
    <w:multiLevelType w:val="hybridMultilevel"/>
    <w:tmpl w:val="02ACF0B0"/>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A1745"/>
    <w:multiLevelType w:val="hybridMultilevel"/>
    <w:tmpl w:val="BD0887DE"/>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2571E"/>
    <w:multiLevelType w:val="hybridMultilevel"/>
    <w:tmpl w:val="A120F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2C4174D4"/>
    <w:multiLevelType w:val="hybridMultilevel"/>
    <w:tmpl w:val="C68EA9B2"/>
    <w:lvl w:ilvl="0" w:tplc="364445EC">
      <w:start w:val="1"/>
      <w:numFmt w:val="decimal"/>
      <w:lvlText w:val="9.%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7A5FF4"/>
    <w:multiLevelType w:val="hybridMultilevel"/>
    <w:tmpl w:val="B8984610"/>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4227B5"/>
    <w:multiLevelType w:val="multilevel"/>
    <w:tmpl w:val="08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BE0F20"/>
    <w:multiLevelType w:val="hybridMultilevel"/>
    <w:tmpl w:val="D7B289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601351"/>
    <w:multiLevelType w:val="hybridMultilevel"/>
    <w:tmpl w:val="9DFC52DC"/>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371BA7"/>
    <w:multiLevelType w:val="hybridMultilevel"/>
    <w:tmpl w:val="101A1988"/>
    <w:lvl w:ilvl="0" w:tplc="08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24C62"/>
    <w:multiLevelType w:val="hybridMultilevel"/>
    <w:tmpl w:val="2004A9DC"/>
    <w:lvl w:ilvl="0" w:tplc="A132839C">
      <w:start w:val="1"/>
      <w:numFmt w:val="decimal"/>
      <w:lvlText w:val="3.%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13531D"/>
    <w:multiLevelType w:val="hybridMultilevel"/>
    <w:tmpl w:val="EF8098C8"/>
    <w:lvl w:ilvl="0" w:tplc="21867C10">
      <w:start w:val="1"/>
      <w:numFmt w:val="decimal"/>
      <w:lvlText w:val="6.%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96463F"/>
    <w:multiLevelType w:val="hybridMultilevel"/>
    <w:tmpl w:val="542ED7A0"/>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99347E"/>
    <w:multiLevelType w:val="hybridMultilevel"/>
    <w:tmpl w:val="FF54E2F8"/>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46AA7"/>
    <w:multiLevelType w:val="hybridMultilevel"/>
    <w:tmpl w:val="90AA6F7A"/>
    <w:lvl w:ilvl="0" w:tplc="2D7449C0">
      <w:start w:val="1"/>
      <w:numFmt w:val="decimal"/>
      <w:lvlText w:val="2.%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661ED6"/>
    <w:multiLevelType w:val="hybridMultilevel"/>
    <w:tmpl w:val="5144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C2108"/>
    <w:multiLevelType w:val="hybridMultilevel"/>
    <w:tmpl w:val="10B42DC2"/>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C4525B"/>
    <w:multiLevelType w:val="hybridMultilevel"/>
    <w:tmpl w:val="974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E1690C"/>
    <w:multiLevelType w:val="hybridMultilevel"/>
    <w:tmpl w:val="7892D72A"/>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5132D1"/>
    <w:multiLevelType w:val="hybridMultilevel"/>
    <w:tmpl w:val="96221A72"/>
    <w:lvl w:ilvl="0" w:tplc="944A7DFE">
      <w:start w:val="1"/>
      <w:numFmt w:val="decimal"/>
      <w:lvlText w:val="4.%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8926CB"/>
    <w:multiLevelType w:val="hybridMultilevel"/>
    <w:tmpl w:val="D98083C6"/>
    <w:lvl w:ilvl="0" w:tplc="AA92309A">
      <w:start w:val="1"/>
      <w:numFmt w:val="decimal"/>
      <w:lvlText w:val="5.%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310A8A"/>
    <w:multiLevelType w:val="hybridMultilevel"/>
    <w:tmpl w:val="1EFE79B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23"/>
  </w:num>
  <w:num w:numId="6">
    <w:abstractNumId w:val="13"/>
  </w:num>
  <w:num w:numId="7">
    <w:abstractNumId w:val="12"/>
  </w:num>
  <w:num w:numId="8">
    <w:abstractNumId w:val="21"/>
  </w:num>
  <w:num w:numId="9">
    <w:abstractNumId w:val="20"/>
  </w:num>
  <w:num w:numId="10">
    <w:abstractNumId w:val="16"/>
  </w:num>
  <w:num w:numId="11">
    <w:abstractNumId w:val="25"/>
  </w:num>
  <w:num w:numId="12">
    <w:abstractNumId w:val="26"/>
  </w:num>
  <w:num w:numId="13">
    <w:abstractNumId w:val="17"/>
  </w:num>
  <w:num w:numId="14">
    <w:abstractNumId w:val="6"/>
  </w:num>
  <w:num w:numId="15">
    <w:abstractNumId w:val="10"/>
  </w:num>
  <w:num w:numId="16">
    <w:abstractNumId w:val="4"/>
  </w:num>
  <w:num w:numId="17">
    <w:abstractNumId w:val="1"/>
  </w:num>
  <w:num w:numId="18">
    <w:abstractNumId w:val="22"/>
  </w:num>
  <w:num w:numId="19">
    <w:abstractNumId w:val="24"/>
  </w:num>
  <w:num w:numId="20">
    <w:abstractNumId w:val="11"/>
  </w:num>
  <w:num w:numId="21">
    <w:abstractNumId w:val="27"/>
  </w:num>
  <w:num w:numId="22">
    <w:abstractNumId w:val="7"/>
  </w:num>
  <w:num w:numId="23">
    <w:abstractNumId w:val="14"/>
  </w:num>
  <w:num w:numId="24">
    <w:abstractNumId w:val="8"/>
  </w:num>
  <w:num w:numId="25">
    <w:abstractNumId w:val="15"/>
  </w:num>
  <w:num w:numId="26">
    <w:abstractNumId w:val="18"/>
  </w:num>
  <w:num w:numId="27">
    <w:abstractNumId w:val="2"/>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EB0"/>
    <w:rsid w:val="0001164D"/>
    <w:rsid w:val="0001288D"/>
    <w:rsid w:val="00027B25"/>
    <w:rsid w:val="00032028"/>
    <w:rsid w:val="000372D1"/>
    <w:rsid w:val="000429F6"/>
    <w:rsid w:val="00051154"/>
    <w:rsid w:val="00056263"/>
    <w:rsid w:val="00070F05"/>
    <w:rsid w:val="00080B1A"/>
    <w:rsid w:val="000830F1"/>
    <w:rsid w:val="00094167"/>
    <w:rsid w:val="0009416D"/>
    <w:rsid w:val="000B1CA6"/>
    <w:rsid w:val="000B5438"/>
    <w:rsid w:val="000C3928"/>
    <w:rsid w:val="000F00DA"/>
    <w:rsid w:val="000F27ED"/>
    <w:rsid w:val="001110AB"/>
    <w:rsid w:val="001279C5"/>
    <w:rsid w:val="001320B6"/>
    <w:rsid w:val="00136479"/>
    <w:rsid w:val="00160FCB"/>
    <w:rsid w:val="001615EE"/>
    <w:rsid w:val="00163A56"/>
    <w:rsid w:val="00187CB6"/>
    <w:rsid w:val="001A7B62"/>
    <w:rsid w:val="001B0125"/>
    <w:rsid w:val="001B05C1"/>
    <w:rsid w:val="001C56C4"/>
    <w:rsid w:val="001D2574"/>
    <w:rsid w:val="001D2921"/>
    <w:rsid w:val="001E1973"/>
    <w:rsid w:val="001E19C4"/>
    <w:rsid w:val="001E1EFF"/>
    <w:rsid w:val="001F6171"/>
    <w:rsid w:val="001F653A"/>
    <w:rsid w:val="001F664F"/>
    <w:rsid w:val="001F66CC"/>
    <w:rsid w:val="00201424"/>
    <w:rsid w:val="0022680F"/>
    <w:rsid w:val="00227443"/>
    <w:rsid w:val="00231605"/>
    <w:rsid w:val="00232364"/>
    <w:rsid w:val="00246432"/>
    <w:rsid w:val="0025576F"/>
    <w:rsid w:val="0025681A"/>
    <w:rsid w:val="0026021E"/>
    <w:rsid w:val="00260EA6"/>
    <w:rsid w:val="00290021"/>
    <w:rsid w:val="00290CD2"/>
    <w:rsid w:val="00295B5A"/>
    <w:rsid w:val="002A19C5"/>
    <w:rsid w:val="002B120A"/>
    <w:rsid w:val="002C450F"/>
    <w:rsid w:val="002C490F"/>
    <w:rsid w:val="002D1343"/>
    <w:rsid w:val="002F704F"/>
    <w:rsid w:val="003116E5"/>
    <w:rsid w:val="003159DE"/>
    <w:rsid w:val="00357A2A"/>
    <w:rsid w:val="00364586"/>
    <w:rsid w:val="00377E0F"/>
    <w:rsid w:val="003924E6"/>
    <w:rsid w:val="00395BFF"/>
    <w:rsid w:val="003A6588"/>
    <w:rsid w:val="003B0BE4"/>
    <w:rsid w:val="003B47D7"/>
    <w:rsid w:val="003C08A3"/>
    <w:rsid w:val="003C3796"/>
    <w:rsid w:val="003D501F"/>
    <w:rsid w:val="003E1186"/>
    <w:rsid w:val="003E60FC"/>
    <w:rsid w:val="003F61ED"/>
    <w:rsid w:val="00407EF3"/>
    <w:rsid w:val="00440F9F"/>
    <w:rsid w:val="004431D5"/>
    <w:rsid w:val="004513E8"/>
    <w:rsid w:val="0045739F"/>
    <w:rsid w:val="00465EAF"/>
    <w:rsid w:val="00481252"/>
    <w:rsid w:val="00495790"/>
    <w:rsid w:val="0049614D"/>
    <w:rsid w:val="004A4541"/>
    <w:rsid w:val="004B3F8C"/>
    <w:rsid w:val="004B504E"/>
    <w:rsid w:val="004F19BC"/>
    <w:rsid w:val="0051716C"/>
    <w:rsid w:val="0052634D"/>
    <w:rsid w:val="00540B00"/>
    <w:rsid w:val="00561C64"/>
    <w:rsid w:val="0056761E"/>
    <w:rsid w:val="00596429"/>
    <w:rsid w:val="00597C68"/>
    <w:rsid w:val="005A58DD"/>
    <w:rsid w:val="005C1F6B"/>
    <w:rsid w:val="005C5639"/>
    <w:rsid w:val="005E7A4C"/>
    <w:rsid w:val="0060532B"/>
    <w:rsid w:val="00612302"/>
    <w:rsid w:val="00612C9B"/>
    <w:rsid w:val="00615404"/>
    <w:rsid w:val="00621D4D"/>
    <w:rsid w:val="00623C2F"/>
    <w:rsid w:val="0063129B"/>
    <w:rsid w:val="0064435A"/>
    <w:rsid w:val="006731E1"/>
    <w:rsid w:val="00681438"/>
    <w:rsid w:val="00686158"/>
    <w:rsid w:val="006A431A"/>
    <w:rsid w:val="006B3520"/>
    <w:rsid w:val="006D59A5"/>
    <w:rsid w:val="006D65F1"/>
    <w:rsid w:val="006F2EB5"/>
    <w:rsid w:val="006F416B"/>
    <w:rsid w:val="006F68D7"/>
    <w:rsid w:val="00707245"/>
    <w:rsid w:val="00713675"/>
    <w:rsid w:val="00736B12"/>
    <w:rsid w:val="007572FE"/>
    <w:rsid w:val="007611CB"/>
    <w:rsid w:val="00763E6E"/>
    <w:rsid w:val="007716EB"/>
    <w:rsid w:val="00784A18"/>
    <w:rsid w:val="007B0032"/>
    <w:rsid w:val="007C2D47"/>
    <w:rsid w:val="007E7A6A"/>
    <w:rsid w:val="007F51A8"/>
    <w:rsid w:val="00801456"/>
    <w:rsid w:val="00817B32"/>
    <w:rsid w:val="008237CC"/>
    <w:rsid w:val="00840078"/>
    <w:rsid w:val="00855C66"/>
    <w:rsid w:val="0085627B"/>
    <w:rsid w:val="0085746F"/>
    <w:rsid w:val="00873ECD"/>
    <w:rsid w:val="00874ED1"/>
    <w:rsid w:val="00883093"/>
    <w:rsid w:val="00894A85"/>
    <w:rsid w:val="00895E49"/>
    <w:rsid w:val="00896457"/>
    <w:rsid w:val="008973B1"/>
    <w:rsid w:val="008A7EC8"/>
    <w:rsid w:val="008B22A1"/>
    <w:rsid w:val="008C067B"/>
    <w:rsid w:val="008C6ACB"/>
    <w:rsid w:val="008D3A23"/>
    <w:rsid w:val="008D3DDB"/>
    <w:rsid w:val="008E2C5E"/>
    <w:rsid w:val="008E6AD1"/>
    <w:rsid w:val="008F0972"/>
    <w:rsid w:val="008F16CE"/>
    <w:rsid w:val="00910E2B"/>
    <w:rsid w:val="00934430"/>
    <w:rsid w:val="00935929"/>
    <w:rsid w:val="009444EB"/>
    <w:rsid w:val="00946CF0"/>
    <w:rsid w:val="0095448F"/>
    <w:rsid w:val="00971689"/>
    <w:rsid w:val="00973E90"/>
    <w:rsid w:val="009751ED"/>
    <w:rsid w:val="0097790E"/>
    <w:rsid w:val="009812A7"/>
    <w:rsid w:val="009927D2"/>
    <w:rsid w:val="009A07B4"/>
    <w:rsid w:val="009C1395"/>
    <w:rsid w:val="009C4780"/>
    <w:rsid w:val="009C525D"/>
    <w:rsid w:val="009D163B"/>
    <w:rsid w:val="009D60C5"/>
    <w:rsid w:val="009E2861"/>
    <w:rsid w:val="00A03D60"/>
    <w:rsid w:val="00A16D34"/>
    <w:rsid w:val="00A35A49"/>
    <w:rsid w:val="00A37242"/>
    <w:rsid w:val="00A52F74"/>
    <w:rsid w:val="00A73DF3"/>
    <w:rsid w:val="00A77021"/>
    <w:rsid w:val="00A831D3"/>
    <w:rsid w:val="00A92D8F"/>
    <w:rsid w:val="00A9739A"/>
    <w:rsid w:val="00AA1DCF"/>
    <w:rsid w:val="00AA203D"/>
    <w:rsid w:val="00AA73A6"/>
    <w:rsid w:val="00AA7FEB"/>
    <w:rsid w:val="00AB1679"/>
    <w:rsid w:val="00AC7EFA"/>
    <w:rsid w:val="00AD3292"/>
    <w:rsid w:val="00AD45F8"/>
    <w:rsid w:val="00AD6518"/>
    <w:rsid w:val="00AE5AB8"/>
    <w:rsid w:val="00AF3CD7"/>
    <w:rsid w:val="00AF587C"/>
    <w:rsid w:val="00B12CF2"/>
    <w:rsid w:val="00B13674"/>
    <w:rsid w:val="00B3696C"/>
    <w:rsid w:val="00B37550"/>
    <w:rsid w:val="00B465A7"/>
    <w:rsid w:val="00B47C06"/>
    <w:rsid w:val="00B55EE5"/>
    <w:rsid w:val="00B72DC0"/>
    <w:rsid w:val="00B80F37"/>
    <w:rsid w:val="00B958E9"/>
    <w:rsid w:val="00B97552"/>
    <w:rsid w:val="00BB6916"/>
    <w:rsid w:val="00BB6ACB"/>
    <w:rsid w:val="00BE0453"/>
    <w:rsid w:val="00BE311F"/>
    <w:rsid w:val="00BF2343"/>
    <w:rsid w:val="00C2692F"/>
    <w:rsid w:val="00C4162D"/>
    <w:rsid w:val="00C43663"/>
    <w:rsid w:val="00C61FB9"/>
    <w:rsid w:val="00C86C3B"/>
    <w:rsid w:val="00CB6D71"/>
    <w:rsid w:val="00CC39A4"/>
    <w:rsid w:val="00CC6580"/>
    <w:rsid w:val="00CE6E01"/>
    <w:rsid w:val="00D325A4"/>
    <w:rsid w:val="00D35CFC"/>
    <w:rsid w:val="00D46847"/>
    <w:rsid w:val="00D475DC"/>
    <w:rsid w:val="00D55747"/>
    <w:rsid w:val="00D653F9"/>
    <w:rsid w:val="00D65808"/>
    <w:rsid w:val="00D80EE1"/>
    <w:rsid w:val="00DA7CEA"/>
    <w:rsid w:val="00DC13C4"/>
    <w:rsid w:val="00DC2890"/>
    <w:rsid w:val="00DC3688"/>
    <w:rsid w:val="00DE7A26"/>
    <w:rsid w:val="00E01F42"/>
    <w:rsid w:val="00E145E2"/>
    <w:rsid w:val="00E17FEB"/>
    <w:rsid w:val="00E20DA8"/>
    <w:rsid w:val="00E34975"/>
    <w:rsid w:val="00E35ECB"/>
    <w:rsid w:val="00E43BFD"/>
    <w:rsid w:val="00E475B1"/>
    <w:rsid w:val="00E7721D"/>
    <w:rsid w:val="00E77C3E"/>
    <w:rsid w:val="00E86346"/>
    <w:rsid w:val="00E92C14"/>
    <w:rsid w:val="00EA0DB1"/>
    <w:rsid w:val="00EA3293"/>
    <w:rsid w:val="00EA5189"/>
    <w:rsid w:val="00EA7DB9"/>
    <w:rsid w:val="00ED2339"/>
    <w:rsid w:val="00ED3C39"/>
    <w:rsid w:val="00EF16E2"/>
    <w:rsid w:val="00F00B9C"/>
    <w:rsid w:val="00F04C9D"/>
    <w:rsid w:val="00F12472"/>
    <w:rsid w:val="00F12912"/>
    <w:rsid w:val="00F14336"/>
    <w:rsid w:val="00F15F64"/>
    <w:rsid w:val="00F2086C"/>
    <w:rsid w:val="00F22DF1"/>
    <w:rsid w:val="00F4367A"/>
    <w:rsid w:val="00F50E3F"/>
    <w:rsid w:val="00F559DF"/>
    <w:rsid w:val="00F62385"/>
    <w:rsid w:val="00F7606D"/>
    <w:rsid w:val="00F96D1A"/>
    <w:rsid w:val="00FA3572"/>
    <w:rsid w:val="00FA624C"/>
    <w:rsid w:val="00FB45FE"/>
    <w:rsid w:val="00FF3DBD"/>
    <w:rsid w:val="00FF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19C4"/>
    <w:pPr>
      <w:ind w:left="720"/>
    </w:pPr>
  </w:style>
  <w:style w:type="character" w:styleId="FollowedHyperlink">
    <w:name w:val="FollowedHyperlink"/>
    <w:rsid w:val="0025681A"/>
    <w:rPr>
      <w:color w:val="800080"/>
      <w:u w:val="single"/>
    </w:rPr>
  </w:style>
  <w:style w:type="table" w:styleId="TableGrid">
    <w:name w:val="Table Grid"/>
    <w:basedOn w:val="TableNormal"/>
    <w:rsid w:val="00BF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5A49"/>
    <w:rPr>
      <w:rFonts w:ascii="Arial" w:hAnsi="Arial"/>
      <w:sz w:val="24"/>
      <w:szCs w:val="24"/>
      <w:lang w:eastAsia="en-US"/>
    </w:rPr>
  </w:style>
  <w:style w:type="character" w:customStyle="1" w:styleId="CommentTextChar">
    <w:name w:val="Comment Text Char"/>
    <w:link w:val="CommentText"/>
    <w:uiPriority w:val="99"/>
    <w:semiHidden/>
    <w:rsid w:val="009A07B4"/>
    <w:rPr>
      <w:rFonts w:ascii="Arial" w:hAnsi="Arial"/>
      <w:lang w:eastAsia="en-US"/>
    </w:rPr>
  </w:style>
  <w:style w:type="paragraph" w:customStyle="1" w:styleId="Default">
    <w:name w:val="Default"/>
    <w:basedOn w:val="Normal"/>
    <w:rsid w:val="002C490F"/>
    <w:pPr>
      <w:autoSpaceDE w:val="0"/>
      <w:autoSpaceDN w:val="0"/>
    </w:pPr>
    <w:rPr>
      <w:rFonts w:ascii="Times New Roman" w:eastAsia="Calibri" w:hAnsi="Times New Roman"/>
      <w:color w:val="000000"/>
    </w:rPr>
  </w:style>
  <w:style w:type="paragraph" w:customStyle="1" w:styleId="Normal2">
    <w:name w:val="Normal+2"/>
    <w:basedOn w:val="Normal"/>
    <w:next w:val="Normal"/>
    <w:rsid w:val="00F15F64"/>
    <w:pPr>
      <w:autoSpaceDE w:val="0"/>
      <w:autoSpaceDN w:val="0"/>
      <w:adjustRightInd w:val="0"/>
    </w:pPr>
    <w:rPr>
      <w:lang w:eastAsia="en-GB"/>
    </w:rPr>
  </w:style>
  <w:style w:type="numbering" w:customStyle="1" w:styleId="Style1">
    <w:name w:val="Style1"/>
    <w:rsid w:val="007F51A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19C4"/>
    <w:pPr>
      <w:ind w:left="720"/>
    </w:pPr>
  </w:style>
  <w:style w:type="character" w:styleId="FollowedHyperlink">
    <w:name w:val="FollowedHyperlink"/>
    <w:rsid w:val="0025681A"/>
    <w:rPr>
      <w:color w:val="800080"/>
      <w:u w:val="single"/>
    </w:rPr>
  </w:style>
  <w:style w:type="table" w:styleId="TableGrid">
    <w:name w:val="Table Grid"/>
    <w:basedOn w:val="TableNormal"/>
    <w:rsid w:val="00BF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5A49"/>
    <w:rPr>
      <w:rFonts w:ascii="Arial" w:hAnsi="Arial"/>
      <w:sz w:val="24"/>
      <w:szCs w:val="24"/>
      <w:lang w:eastAsia="en-US"/>
    </w:rPr>
  </w:style>
  <w:style w:type="character" w:customStyle="1" w:styleId="CommentTextChar">
    <w:name w:val="Comment Text Char"/>
    <w:link w:val="CommentText"/>
    <w:uiPriority w:val="99"/>
    <w:semiHidden/>
    <w:rsid w:val="009A07B4"/>
    <w:rPr>
      <w:rFonts w:ascii="Arial" w:hAnsi="Arial"/>
      <w:lang w:eastAsia="en-US"/>
    </w:rPr>
  </w:style>
  <w:style w:type="paragraph" w:customStyle="1" w:styleId="Default">
    <w:name w:val="Default"/>
    <w:basedOn w:val="Normal"/>
    <w:rsid w:val="002C490F"/>
    <w:pPr>
      <w:autoSpaceDE w:val="0"/>
      <w:autoSpaceDN w:val="0"/>
    </w:pPr>
    <w:rPr>
      <w:rFonts w:ascii="Times New Roman" w:eastAsia="Calibri" w:hAnsi="Times New Roman"/>
      <w:color w:val="000000"/>
    </w:rPr>
  </w:style>
  <w:style w:type="paragraph" w:customStyle="1" w:styleId="Normal2">
    <w:name w:val="Normal+2"/>
    <w:basedOn w:val="Normal"/>
    <w:next w:val="Normal"/>
    <w:rsid w:val="00F15F64"/>
    <w:pPr>
      <w:autoSpaceDE w:val="0"/>
      <w:autoSpaceDN w:val="0"/>
      <w:adjustRightInd w:val="0"/>
    </w:pPr>
    <w:rPr>
      <w:lang w:eastAsia="en-GB"/>
    </w:rPr>
  </w:style>
  <w:style w:type="numbering" w:customStyle="1" w:styleId="Style1">
    <w:name w:val="Style1"/>
    <w:rsid w:val="007F51A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4003">
      <w:bodyDiv w:val="1"/>
      <w:marLeft w:val="0"/>
      <w:marRight w:val="0"/>
      <w:marTop w:val="0"/>
      <w:marBottom w:val="0"/>
      <w:divBdr>
        <w:top w:val="none" w:sz="0" w:space="0" w:color="auto"/>
        <w:left w:val="none" w:sz="0" w:space="0" w:color="auto"/>
        <w:bottom w:val="none" w:sz="0" w:space="0" w:color="auto"/>
        <w:right w:val="none" w:sz="0" w:space="0" w:color="auto"/>
      </w:divBdr>
    </w:div>
    <w:div w:id="508132388">
      <w:bodyDiv w:val="1"/>
      <w:marLeft w:val="0"/>
      <w:marRight w:val="0"/>
      <w:marTop w:val="0"/>
      <w:marBottom w:val="0"/>
      <w:divBdr>
        <w:top w:val="none" w:sz="0" w:space="0" w:color="auto"/>
        <w:left w:val="none" w:sz="0" w:space="0" w:color="auto"/>
        <w:bottom w:val="none" w:sz="0" w:space="0" w:color="auto"/>
        <w:right w:val="none" w:sz="0" w:space="0" w:color="auto"/>
      </w:divBdr>
    </w:div>
    <w:div w:id="628899824">
      <w:bodyDiv w:val="1"/>
      <w:marLeft w:val="0"/>
      <w:marRight w:val="0"/>
      <w:marTop w:val="0"/>
      <w:marBottom w:val="0"/>
      <w:divBdr>
        <w:top w:val="none" w:sz="0" w:space="0" w:color="auto"/>
        <w:left w:val="none" w:sz="0" w:space="0" w:color="auto"/>
        <w:bottom w:val="none" w:sz="0" w:space="0" w:color="auto"/>
        <w:right w:val="none" w:sz="0" w:space="0" w:color="auto"/>
      </w:divBdr>
    </w:div>
    <w:div w:id="689798676">
      <w:bodyDiv w:val="1"/>
      <w:marLeft w:val="0"/>
      <w:marRight w:val="0"/>
      <w:marTop w:val="0"/>
      <w:marBottom w:val="0"/>
      <w:divBdr>
        <w:top w:val="none" w:sz="0" w:space="0" w:color="auto"/>
        <w:left w:val="none" w:sz="0" w:space="0" w:color="auto"/>
        <w:bottom w:val="none" w:sz="0" w:space="0" w:color="auto"/>
        <w:right w:val="none" w:sz="0" w:space="0" w:color="auto"/>
      </w:divBdr>
    </w:div>
    <w:div w:id="772631311">
      <w:bodyDiv w:val="1"/>
      <w:marLeft w:val="0"/>
      <w:marRight w:val="0"/>
      <w:marTop w:val="0"/>
      <w:marBottom w:val="0"/>
      <w:divBdr>
        <w:top w:val="none" w:sz="0" w:space="0" w:color="auto"/>
        <w:left w:val="none" w:sz="0" w:space="0" w:color="auto"/>
        <w:bottom w:val="none" w:sz="0" w:space="0" w:color="auto"/>
        <w:right w:val="none" w:sz="0" w:space="0" w:color="auto"/>
      </w:divBdr>
    </w:div>
    <w:div w:id="817771686">
      <w:bodyDiv w:val="1"/>
      <w:marLeft w:val="0"/>
      <w:marRight w:val="0"/>
      <w:marTop w:val="0"/>
      <w:marBottom w:val="0"/>
      <w:divBdr>
        <w:top w:val="none" w:sz="0" w:space="0" w:color="auto"/>
        <w:left w:val="none" w:sz="0" w:space="0" w:color="auto"/>
        <w:bottom w:val="none" w:sz="0" w:space="0" w:color="auto"/>
        <w:right w:val="none" w:sz="0" w:space="0" w:color="auto"/>
      </w:divBdr>
    </w:div>
    <w:div w:id="1217622083">
      <w:bodyDiv w:val="1"/>
      <w:marLeft w:val="0"/>
      <w:marRight w:val="0"/>
      <w:marTop w:val="0"/>
      <w:marBottom w:val="0"/>
      <w:divBdr>
        <w:top w:val="none" w:sz="0" w:space="0" w:color="auto"/>
        <w:left w:val="none" w:sz="0" w:space="0" w:color="auto"/>
        <w:bottom w:val="none" w:sz="0" w:space="0" w:color="auto"/>
        <w:right w:val="none" w:sz="0" w:space="0" w:color="auto"/>
      </w:divBdr>
    </w:div>
    <w:div w:id="1971981714">
      <w:bodyDiv w:val="1"/>
      <w:marLeft w:val="0"/>
      <w:marRight w:val="0"/>
      <w:marTop w:val="0"/>
      <w:marBottom w:val="0"/>
      <w:divBdr>
        <w:top w:val="none" w:sz="0" w:space="0" w:color="auto"/>
        <w:left w:val="none" w:sz="0" w:space="0" w:color="auto"/>
        <w:bottom w:val="none" w:sz="0" w:space="0" w:color="auto"/>
        <w:right w:val="none" w:sz="0" w:space="0" w:color="auto"/>
      </w:divBdr>
    </w:div>
    <w:div w:id="2011253853">
      <w:bodyDiv w:val="1"/>
      <w:marLeft w:val="0"/>
      <w:marRight w:val="0"/>
      <w:marTop w:val="0"/>
      <w:marBottom w:val="0"/>
      <w:divBdr>
        <w:top w:val="none" w:sz="0" w:space="0" w:color="auto"/>
        <w:left w:val="none" w:sz="0" w:space="0" w:color="auto"/>
        <w:bottom w:val="none" w:sz="0" w:space="0" w:color="auto"/>
        <w:right w:val="none" w:sz="0" w:space="0" w:color="auto"/>
      </w:divBdr>
    </w:div>
    <w:div w:id="2118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nold@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AA83-7311-41A6-9C84-D9F27D83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96639AEB.dotm</Template>
  <TotalTime>6</TotalTime>
  <Pages>14</Pages>
  <Words>3401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20985</CharactersWithSpaces>
  <SharedDoc>false</SharedDoc>
  <HLinks>
    <vt:vector size="6" baseType="variant">
      <vt:variant>
        <vt:i4>458878</vt:i4>
      </vt:variant>
      <vt:variant>
        <vt:i4>0</vt:i4>
      </vt:variant>
      <vt:variant>
        <vt:i4>0</vt:i4>
      </vt:variant>
      <vt:variant>
        <vt:i4>5</vt:i4>
      </vt:variant>
      <vt:variant>
        <vt:lpwstr>mailto:carnold@oxford.gov.uk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2014-08-12T12:51:00Z</cp:lastPrinted>
  <dcterms:created xsi:type="dcterms:W3CDTF">2014-09-22T15:33:00Z</dcterms:created>
  <dcterms:modified xsi:type="dcterms:W3CDTF">2014-10-07T08:14:00Z</dcterms:modified>
</cp:coreProperties>
</file>